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011"/>
        <w:gridCol w:w="2618"/>
        <w:gridCol w:w="1605"/>
        <w:gridCol w:w="1000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602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30"/>
                <w:szCs w:val="30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67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    校</w:t>
            </w:r>
          </w:p>
        </w:tc>
        <w:tc>
          <w:tcPr>
            <w:tcW w:w="20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四川省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双流中学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万科实验学校</w:t>
            </w:r>
          </w:p>
        </w:tc>
        <w:tc>
          <w:tcPr>
            <w:tcW w:w="26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</w:t>
            </w:r>
          </w:p>
        </w:tc>
        <w:tc>
          <w:tcPr>
            <w:tcW w:w="3380" w:type="dxa"/>
            <w:gridSpan w:val="3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杜昆容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2" w:hRule="atLeast"/>
          <w:jc w:val="center"/>
        </w:trPr>
        <w:tc>
          <w:tcPr>
            <w:tcW w:w="1767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    科</w:t>
            </w:r>
          </w:p>
        </w:tc>
        <w:tc>
          <w:tcPr>
            <w:tcW w:w="20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26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学习领域/模块</w:t>
            </w:r>
          </w:p>
        </w:tc>
        <w:tc>
          <w:tcPr>
            <w:tcW w:w="3380" w:type="dxa"/>
            <w:gridSpan w:val="3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综合与实践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统计与概率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6" w:hRule="atLeast"/>
          <w:jc w:val="center"/>
        </w:trPr>
        <w:tc>
          <w:tcPr>
            <w:tcW w:w="1767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 级</w:t>
            </w:r>
          </w:p>
        </w:tc>
        <w:tc>
          <w:tcPr>
            <w:tcW w:w="201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年级</w:t>
            </w:r>
          </w:p>
        </w:tc>
        <w:tc>
          <w:tcPr>
            <w:tcW w:w="26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教科书版本及章节</w:t>
            </w:r>
          </w:p>
        </w:tc>
        <w:tc>
          <w:tcPr>
            <w:tcW w:w="3380" w:type="dxa"/>
            <w:gridSpan w:val="3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北师大版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一年级下册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数学好玩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2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单元整体分析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1767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单元学习主题</w:t>
            </w:r>
          </w:p>
        </w:tc>
        <w:tc>
          <w:tcPr>
            <w:tcW w:w="6234" w:type="dxa"/>
            <w:gridSpan w:val="3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CN"/>
              </w:rPr>
              <w:t>北师大版一年级下册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val="en-US" w:eastAsia="zh-Hans"/>
              </w:rPr>
              <w:t>数学好玩</w:t>
            </w:r>
          </w:p>
        </w:tc>
        <w:tc>
          <w:tcPr>
            <w:tcW w:w="100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课时数</w:t>
            </w:r>
          </w:p>
        </w:tc>
        <w:tc>
          <w:tcPr>
            <w:tcW w:w="77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单元课标要求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（1）能根据给定的标准或者自己选定的标准，对事物或数据进行分类，感受分类与分类标准的关系。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（2）通过实践活动，感受数学在日常生活中的作用，体验能够运用所学的知识和方法解決简单问题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，获得初步的数学活动经验。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（3）在实践活动中，了解要解决的问题和解决问题的办法。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（4）经历实践操作的过程，进一步理解所学的内容。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" w:lineRule="atLeas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单元学习目标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）结合分扣子的实践活动，了解分类是需要标准的，在不同的分类标准下结果可能是不同的。（依据课程标准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）经历实际操作的过程，初步提高把握图形特征、抽象出多个图形共性的能力以及整理数据的能力。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（依据课程标准1）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（3）获得初步的数学活动经验，感受数学在日常生活中的应用。（依据课程标准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）在回顾、整理、交流活动中，初步学会全面合理地评价活动过程和方法等，发展自我反思能力。（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依据课程标准2，3，4）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经历填数游戏活动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初步提高分析推理能力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让学生了解数学在生活中的应用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（依据课程标准2，3，4）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（6）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在探索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尝试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交流等活动中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体会填数游戏的乐趣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激发学习兴趣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依据课程标准2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单元评价任务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能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按不同的分类标准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扣子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进行分类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检验目标1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（2）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能通过自主思考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小组合作、集体交流，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提高把握图形特征、抽象出多个图形共性的能力以及整理数据的能力。（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检验目标2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能在具体的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拓展应用、解决问题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中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感受数学在日常生活中的应用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发展自我反思能力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。（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检验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目标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、5）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（4）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能读懂游戏规则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检验目标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5）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（5）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能在活动中体会填数游戏的乐趣（检验目标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Hans"/>
              </w:rPr>
              <w:t>6）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776" w:type="dxa"/>
            <w:gridSpan w:val="6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单元教学结构图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" w:lineRule="atLeas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本单元的主题是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Hans"/>
              </w:rPr>
              <w:t>数学好玩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，共分为2个课题，2个课时完成。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inline distT="0" distB="0" distL="114300" distR="114300">
                  <wp:extent cx="5036820" cy="1472565"/>
                  <wp:effectExtent l="0" t="0" r="11430" b="13335"/>
                  <wp:docPr id="6" name="图片 6" descr="截屏2022-02-09 18.24.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截屏2022-02-09 18.24.2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6820" cy="1472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0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2022-02-27T14:12:29Z</dcterms:created>
  <dc:creator>Administrator</dc:creator>
  <cp:lastModifiedBy>一路有你</cp:lastModifiedBy>
  <dcterms:modified xsi:type="dcterms:W3CDTF">2022-02-27T14:13:32Z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BCA738B3CE924C778BCB080E1790F4B2</vt:lpwstr>
  </property>
</Properties>
</file>