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Do you like bananas? 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新授课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 章/单元复习课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专题复习课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习题/试卷讲评课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学科实践活动课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其他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学习过程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借助录音、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动画及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模仿、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识别语言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并理解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对话内容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提升语言理解力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通过图片观察、语言分析，学习用语言有条理地表达思想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形成良好的逻辑思维能力。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通过照片描述练习，强化巩固新知，增进语言表达力。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（4）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积极参与到与他人的讨论和交流中，养成用完整语句表达的习惯。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spacing w:line="440" w:lineRule="atLeast"/>
              <w:ind w:firstLine="420" w:firstLineChars="200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课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教材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是《新标准英语》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起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年级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册Module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3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Unit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本课通过学习Amy与Lingling的对话内容，理解并初步学习如何询问别人的喜好并做出回答。要求学生能够理解和听、说单词：banana, apple, orange, milk, ice cream, fruit milkshake.学生能在课文语境下初步理解和使用句型： Do you like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?  Yes, I do. / No, I don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t.</w:t>
            </w:r>
          </w:p>
          <w:p>
            <w:pPr>
              <w:pStyle w:val="5"/>
              <w:spacing w:line="320" w:lineRule="exact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态度能力：对英语保持有较高的学习热情。但本期内容有一定难度，可能会造成部分学生学习自信受损。通过前期学科学习能力培养，形成了英语听读、模仿习惯，有了一定的英语语感，能用学习工具辅助英语学习。遇到困难时，能向在教师和同伴求助，大胆尝试用英语完成一些简单交流任务。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语言积累：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学生已有知识包括一些关于水果的词汇：apple, banana, orange以及句型：I like …. / I don’t like ….学生能够听，说水果单词，但还不能认读。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学习过程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中借助录音、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动画及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模仿、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学习语言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熟悉文本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内容。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通过图文结合，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逐步加深理解和运用新句式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Do you like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?  Yes, I do. / No, I don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t.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的功能。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Do you like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?  Yes, I do. / No, I don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t.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，询问对方对食物的喜好。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（4）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有条理地组织思维和语言，描述图片、表达思想。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据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照片情境，适时简单阐述原因，积极与他人交流情感和思想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积极地参与到小组或集体讨论中，并主动使用英语表达自己的观点和想法。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提出任务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选择方法。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观察图片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逻辑表达。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依据线索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推断猜测。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4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回顾内容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思维梳理。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5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：分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组活动，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扩展交流。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2"/>
              <w:tblW w:w="10465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4320"/>
              <w:gridCol w:w="1770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环节一：Lead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-----Free talk / Activity 1 Listen and chant.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68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引导完成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1.涉入话题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(1)Greetings.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(2)T: I like drawing pictures. Guess! What’s this?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Look! I have a toy monkey.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“Hello, children! I like bananas.”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(3)Say a chant.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“A banana for you, A banana for me, A banana for the monkey up in the tree….”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2.呈现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Activity 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(1)T: As we know, monkeys like bananas. Please look at Picture1．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Q: What can you see?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Q: How about this one? Does he like bananas too?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(2) (Listen and repeat.)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 Please look at Picture2．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Q: What happened? How many ice creams? Let’s count! Wow! So many ice creams!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 Boys and girls! Do you like ice creams?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Don’t eat too many ice creams! It’s bad for your stomach.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引导完成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1.思考作答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(1)Greet to the teacher.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(2)Guess.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(3)Follow the teacher to say the chant.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2.学习小诗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(1)结合图文变化，分步理解文本。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Look at the picture.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Think about the questions and then answer them.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(2) Count together. Answer the questions. </w:t>
                  </w: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Task 1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-学生猜测动物及其食物喜好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both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了解如何表达食物喜恶以及了解贪吃的后果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yellow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8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交待模块学习任务，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简单交流导入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对食物喜好的主题。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Presentation -----Activity 2 Listen, point and find 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“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Do you like ... 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”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观察图片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逻辑表达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1.导入情境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(1)Today, Amy and Lingling are on their way home. Amy asks Lingling some questions.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(2)Listen and watch the video. Answer the question: What fruits(水果) can you hear?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呈现新知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Listen, point and find the questions with "Do you like...?"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ind w:left="0" w:leftChars="0" w:firstLine="0" w:firstLineChars="0"/>
                    <w:rPr>
                      <w:rFonts w:hint="eastAsi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Listen again and find the answers of Lingling </w:t>
                  </w:r>
                  <w:r>
                    <w:rPr>
                      <w:rFonts w:hint="eastAsia"/>
                    </w:rPr>
                    <w:t>(以小组为单位,根据课文提示,完成学习任务卡)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does Lingling like?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3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Look, what's this?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Make the “fruit milkshake”.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Now, let me show you.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ind w:left="0" w:leftChars="0" w:firstLine="0" w:firstLineChars="0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Ask Ss to listen, point and say. Then act the dialogue.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观察图片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逻辑表达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1．Think about the question while watching the video. 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Answer the question: 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I can hear ….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学习新知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Ss: 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Do you like bananas?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Do you like apples?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Do you like milk?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Do you like oranges?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5080</wp:posOffset>
                        </wp:positionH>
                        <wp:positionV relativeFrom="paragraph">
                          <wp:posOffset>26035</wp:posOffset>
                        </wp:positionV>
                        <wp:extent cx="2606040" cy="1466215"/>
                        <wp:effectExtent l="0" t="0" r="10160" b="6985"/>
                        <wp:wrapTopAndBottom/>
                        <wp:docPr id="3" name="图片 3" descr="幻灯片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3" descr="幻灯片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6040" cy="1466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3.Ss: Yes, I do./No, I don't.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Then ask and answer in pairs according to the learning task. And show.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She likes Bananas, apples and milk.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Ansi="宋体"/>
                      <w:iCs/>
                      <w:szCs w:val="21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-30480</wp:posOffset>
                        </wp:positionH>
                        <wp:positionV relativeFrom="paragraph">
                          <wp:posOffset>95250</wp:posOffset>
                        </wp:positionV>
                        <wp:extent cx="2449195" cy="1504315"/>
                        <wp:effectExtent l="0" t="0" r="1905" b="6985"/>
                        <wp:wrapTopAndBottom/>
                        <wp:docPr id="2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49195" cy="15043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4.Ss: It's a fruit milkshake.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Learn how to make the fruit milkshake.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5.Listen, point and say. Then act the dialogue.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-逻辑表达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Step1----先听食物单词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Step2----再找询问是否喜欢某种食物的问句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Step3----阅读，找Lingling的回答，了解Lingling的喜好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评价4：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Task3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-实际体验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yellow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教师现场制作“fruit milkshake”,帮助学生理解。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yellow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yellow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通过问题链，引导学生观察和描述图片，掌握如何询问他人对事物的喜好，激发对生活的关注和热情。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Consolidation ------ Practise and Retell the text.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回顾内容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思维梳理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指导学生同桌活动，询问和回答对食物的喜好。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回顾内容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思维梳理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同桌活动，询问和回答对食物的喜好。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评价5：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-回顾梳理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Step1---能否找出并归纳语言规律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Step2---能否熟练询问和回答对食物的喜恶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通过练习目标句型，让学生归纳语言特点，掌握核心内容。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Extension ----- 我是小小服务员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Task5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实践应用---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引导学生以小组为单位，其中</w:t>
                  </w:r>
                  <w:r>
                    <w:rPr>
                      <w:rFonts w:hint="eastAsia"/>
                      <w:lang w:val="en-US" w:eastAsia="zh-CN"/>
                    </w:rPr>
                    <w:t>小组成员分别作为服务员，询问其他成员对食物的喜好。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   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Task5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分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组活动，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扩展交流。</w:t>
                  </w:r>
                </w:p>
                <w:p>
                  <w:pPr>
                    <w:spacing w:line="240" w:lineRule="auto"/>
                    <w:jc w:val="left"/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小组成员分别扮演服务员，询问其他成员对食物的喜好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drawing>
                      <wp:inline distT="0" distB="0" distL="114300" distR="114300">
                        <wp:extent cx="2606040" cy="1466215"/>
                        <wp:effectExtent l="0" t="0" r="10160" b="6985"/>
                        <wp:docPr id="1" name="图片 1" descr="3-1 done done done最终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3-1 done done done最终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6040" cy="1466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评价6：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以餐厅为场景，通过扮演服务员，询问和了解顾客对食物的喜恶，进行点餐工作。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检查能否能做简单迁移应用，甚至表达创新。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扩展真实场景，增进生活趣味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  <w:r>
              <w:rPr>
                <w:rFonts w:hint="eastAsia"/>
                <w:lang w:val="en-US" w:eastAsia="zh-CN"/>
              </w:rPr>
              <w:t xml:space="preserve">        </w:t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6079490" cy="3420110"/>
                  <wp:effectExtent l="0" t="0" r="3810" b="8890"/>
                  <wp:docPr id="5" name="图片 5" descr="bansh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banshu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9490" cy="342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4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>
      <w:r>
        <w:br w:type="page"/>
      </w:r>
      <w:bookmarkStart w:id="0" w:name="_GoBack"/>
      <w:bookmarkEnd w:id="0"/>
    </w:p>
    <w:p/>
    <w:tbl>
      <w:tblPr>
        <w:tblStyle w:val="3"/>
        <w:tblpPr w:leftFromText="180" w:rightFromText="180" w:vertAnchor="text" w:tblpXSpec="center" w:tblpY="1"/>
        <w:tblOverlap w:val="never"/>
        <w:tblW w:w="10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8759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作业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1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Do you like bananas? 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复习课文。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理解如何运用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Do you like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?  Yes, I do. / No, I don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t.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，询问对方对食物的喜好。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积极运用目标语言询问和回答对事物的喜恶。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作业要求</w:t>
            </w:r>
          </w:p>
        </w:tc>
        <w:tc>
          <w:tcPr>
            <w:tcW w:w="8759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口头作业（独立完成+合作完成）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Oral Practise.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(口头练习，学生自评)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1.1 Talk about the story and rewrite it.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(唱并重编儿歌，三选一)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1: Talk about the story.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2: Recite the story.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3: Write your story.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1.2 Review the text.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(复习课文，三选一)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211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Listen, read and repeat.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Read the text.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Ask and answer about the food your friend like and dislike.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1.3 Play the role of waiter.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(扮演服务生)</w:t>
            </w:r>
          </w:p>
          <w:p>
            <w:pPr>
              <w:widowControl/>
              <w:jc w:val="left"/>
              <w:textAlignment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小组成员分别扮演服务员，询问其他成员对食物的喜好</w:t>
            </w:r>
          </w:p>
          <w:p>
            <w:pPr>
              <w:widowControl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2606040" cy="1466215"/>
                  <wp:effectExtent l="0" t="0" r="10160" b="6985"/>
                  <wp:docPr id="4" name="图片 4" descr="3-1 done done done最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3-1 done done done最终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040" cy="146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作业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检测</w:t>
            </w:r>
          </w:p>
        </w:tc>
        <w:tc>
          <w:tcPr>
            <w:tcW w:w="8759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根据实际情况，表达自己是否喜欢课文中出现的水果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（2）对实际生活的情境，如：餐厅，家庭，学校等，尝试用核心语言描述。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作业总评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将各项作业自评和老师评分累加成分数，填在右边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18C99F"/>
    <w:multiLevelType w:val="singleLevel"/>
    <w:tmpl w:val="EA18C99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612C731"/>
    <w:multiLevelType w:val="singleLevel"/>
    <w:tmpl w:val="0612C73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3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4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TllZGRhNjhkNWQ1YmYxZDIxZTEzZjljMTY3MjcifQ=="/>
  </w:docVars>
  <w:rsids>
    <w:rsidRoot w:val="3C64482A"/>
    <w:rsid w:val="02B52978"/>
    <w:rsid w:val="03856E21"/>
    <w:rsid w:val="05537050"/>
    <w:rsid w:val="0AA13078"/>
    <w:rsid w:val="1331302C"/>
    <w:rsid w:val="2412220B"/>
    <w:rsid w:val="260D0D29"/>
    <w:rsid w:val="2C865535"/>
    <w:rsid w:val="2CA72E78"/>
    <w:rsid w:val="2CDC54E0"/>
    <w:rsid w:val="2F6D322E"/>
    <w:rsid w:val="2FB01484"/>
    <w:rsid w:val="32170DF8"/>
    <w:rsid w:val="346616F1"/>
    <w:rsid w:val="3C64482A"/>
    <w:rsid w:val="3F226FC6"/>
    <w:rsid w:val="4ABD0582"/>
    <w:rsid w:val="55C338E8"/>
    <w:rsid w:val="56334061"/>
    <w:rsid w:val="5A1465F1"/>
    <w:rsid w:val="5A9F7311"/>
    <w:rsid w:val="5D153410"/>
    <w:rsid w:val="6AAE5552"/>
    <w:rsid w:val="6B28750A"/>
    <w:rsid w:val="6DE24379"/>
    <w:rsid w:val="731D2EFE"/>
    <w:rsid w:val="73993FFB"/>
    <w:rsid w:val="73AC463D"/>
    <w:rsid w:val="7CB24EE3"/>
    <w:rsid w:val="7E7F1C01"/>
    <w:rsid w:val="7FF2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2319</Words>
  <Characters>4014</Characters>
  <Lines>0</Lines>
  <Paragraphs>0</Paragraphs>
  <TotalTime>12</TotalTime>
  <ScaleCrop>false</ScaleCrop>
  <LinksUpToDate>false</LinksUpToDate>
  <CharactersWithSpaces>4476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2022-07-10T15:33:00Z</dcterms:created>
  <dc:creator>陈丽</dc:creator>
  <cp:lastModifiedBy>Broken Angel</cp:lastModifiedBy>
  <dcterms:modified xsi:type="dcterms:W3CDTF">2022-08-20T08:08:42Z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9335AD9316104BC1A69BC14FCBFC17E6</vt:lpwstr>
  </property>
</Properties>
</file>