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pPr w:leftFromText="180" w:rightFromText="180" w:vertAnchor="text" w:horzAnchor="page" w:tblpX="1560" w:tblpY="258"/>
        <w:tblOverlap w:val="never"/>
        <w:tblW w:w="97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01"/>
        <w:gridCol w:w="2077"/>
        <w:gridCol w:w="2803"/>
        <w:gridCol w:w="1420"/>
        <w:gridCol w:w="1000"/>
        <w:gridCol w:w="7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9776" w:type="dxa"/>
            <w:gridSpan w:val="6"/>
            <w:shd w:val="clear" w:color="auto" w:fill="auto"/>
            <w:vAlign w:val="center"/>
          </w:tcPr>
          <w:p>
            <w:pPr>
              <w:spacing w:line="360" w:lineRule="auto"/>
              <w:ind w:firstLine="643" w:firstLineChars="200"/>
              <w:jc w:val="center"/>
              <w:rPr>
                <w:rFonts w:ascii="Times New Roman" w:hAnsi="Times New Roman"/>
                <w:b/>
                <w:sz w:val="32"/>
                <w:szCs w:val="32"/>
              </w:rPr>
            </w:pPr>
            <w:r>
              <w:rPr>
                <w:rFonts w:ascii="Times New Roman" w:hAnsi="Times New Roman"/>
                <w:b/>
                <w:sz w:val="32"/>
                <w:szCs w:val="32"/>
              </w:rPr>
              <w:t>基本信息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3" w:hRule="atLeast"/>
        </w:trPr>
        <w:tc>
          <w:tcPr>
            <w:tcW w:w="1701" w:type="dxa"/>
            <w:shd w:val="clear" w:color="auto" w:fill="auto"/>
            <w:vAlign w:val="center"/>
          </w:tcPr>
          <w:p>
            <w:pPr>
              <w:spacing w:line="360" w:lineRule="auto"/>
              <w:ind w:firstLine="420" w:firstLineChars="200"/>
              <w:jc w:val="center"/>
              <w:rPr>
                <w:rFonts w:ascii="Times New Roman" w:hAnsi="Times New Roman"/>
              </w:rPr>
            </w:pPr>
            <w:r>
              <w:rPr>
                <w:rFonts w:ascii="Times New Roman" w:hAnsi="Times New Roman"/>
              </w:rPr>
              <w:t>学</w:t>
            </w:r>
            <w:r>
              <w:rPr>
                <w:rFonts w:hint="eastAsia" w:ascii="Times New Roman" w:hAnsi="Times New Roman"/>
              </w:rPr>
              <w:t xml:space="preserve">    </w:t>
            </w:r>
            <w:r>
              <w:rPr>
                <w:rFonts w:ascii="Times New Roman" w:hAnsi="Times New Roman"/>
              </w:rPr>
              <w:t>校</w:t>
            </w:r>
          </w:p>
        </w:tc>
        <w:tc>
          <w:tcPr>
            <w:tcW w:w="2077" w:type="dxa"/>
            <w:shd w:val="clear" w:color="auto" w:fill="auto"/>
            <w:vAlign w:val="center"/>
          </w:tcPr>
          <w:p>
            <w:pPr>
              <w:spacing w:line="360" w:lineRule="auto"/>
              <w:jc w:val="both"/>
              <w:rPr>
                <w:rFonts w:hint="default" w:ascii="Times New Roman" w:hAnsi="Times New Roman" w:eastAsiaTheme="minorEastAsia"/>
                <w:lang w:val="en-US" w:eastAsia="zh-CN"/>
              </w:rPr>
            </w:pPr>
            <w:r>
              <w:rPr>
                <w:rFonts w:hint="eastAsia" w:ascii="Times New Roman" w:hAnsi="Times New Roman"/>
                <w:sz w:val="18"/>
                <w:szCs w:val="21"/>
                <w:lang w:val="en-US" w:eastAsia="zh-CN"/>
              </w:rPr>
              <w:t>双流区协和实验小学</w:t>
            </w:r>
          </w:p>
        </w:tc>
        <w:tc>
          <w:tcPr>
            <w:tcW w:w="2803" w:type="dxa"/>
            <w:shd w:val="clear" w:color="auto" w:fill="auto"/>
            <w:vAlign w:val="center"/>
          </w:tcPr>
          <w:p>
            <w:pPr>
              <w:spacing w:line="360" w:lineRule="auto"/>
              <w:ind w:firstLine="420" w:firstLineChars="200"/>
              <w:jc w:val="center"/>
              <w:rPr>
                <w:rFonts w:ascii="Times New Roman" w:hAnsi="Times New Roman"/>
              </w:rPr>
            </w:pPr>
            <w:r>
              <w:rPr>
                <w:rFonts w:hint="eastAsia" w:ascii="Times New Roman" w:hAnsi="Times New Roman"/>
              </w:rPr>
              <w:t>执教教师</w:t>
            </w:r>
          </w:p>
        </w:tc>
        <w:tc>
          <w:tcPr>
            <w:tcW w:w="3195" w:type="dxa"/>
            <w:gridSpan w:val="3"/>
            <w:shd w:val="clear" w:color="auto" w:fill="auto"/>
            <w:vAlign w:val="center"/>
          </w:tcPr>
          <w:p>
            <w:pPr>
              <w:spacing w:line="360" w:lineRule="auto"/>
              <w:jc w:val="center"/>
              <w:rPr>
                <w:rFonts w:hint="default" w:ascii="Times New Roman" w:hAnsi="Times New Roman" w:eastAsiaTheme="minorEastAsia"/>
                <w:lang w:val="en-US" w:eastAsia="zh-CN"/>
              </w:rPr>
            </w:pPr>
            <w:r>
              <w:rPr>
                <w:rFonts w:hint="eastAsia" w:ascii="Times New Roman" w:hAnsi="Times New Roman"/>
                <w:lang w:val="en-US" w:eastAsia="zh-CN"/>
              </w:rPr>
              <w:t>樊小娟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2" w:hRule="atLeast"/>
        </w:trPr>
        <w:tc>
          <w:tcPr>
            <w:tcW w:w="1701" w:type="dxa"/>
            <w:shd w:val="clear" w:color="auto" w:fill="auto"/>
            <w:vAlign w:val="center"/>
          </w:tcPr>
          <w:p>
            <w:pPr>
              <w:spacing w:line="360" w:lineRule="auto"/>
              <w:ind w:firstLine="420" w:firstLineChars="200"/>
              <w:jc w:val="center"/>
              <w:rPr>
                <w:rFonts w:ascii="Times New Roman" w:hAnsi="Times New Roman"/>
              </w:rPr>
            </w:pPr>
            <w:r>
              <w:rPr>
                <w:rFonts w:ascii="Times New Roman" w:hAnsi="Times New Roman"/>
              </w:rPr>
              <w:t>学</w:t>
            </w:r>
            <w:r>
              <w:rPr>
                <w:rFonts w:hint="eastAsia" w:ascii="Times New Roman" w:hAnsi="Times New Roman"/>
              </w:rPr>
              <w:t xml:space="preserve">    </w:t>
            </w:r>
            <w:r>
              <w:rPr>
                <w:rFonts w:ascii="Times New Roman" w:hAnsi="Times New Roman"/>
              </w:rPr>
              <w:t>科</w:t>
            </w:r>
          </w:p>
        </w:tc>
        <w:tc>
          <w:tcPr>
            <w:tcW w:w="2077" w:type="dxa"/>
            <w:shd w:val="clear" w:color="auto" w:fill="auto"/>
            <w:vAlign w:val="center"/>
          </w:tcPr>
          <w:p>
            <w:pPr>
              <w:spacing w:line="360" w:lineRule="auto"/>
              <w:jc w:val="center"/>
              <w:rPr>
                <w:rFonts w:hint="eastAsia" w:ascii="Times New Roman" w:hAnsi="Times New Roman" w:eastAsiaTheme="minorEastAsia"/>
                <w:lang w:val="en-US" w:eastAsia="zh-CN"/>
              </w:rPr>
            </w:pPr>
            <w:r>
              <w:rPr>
                <w:rFonts w:hint="eastAsia" w:ascii="Times New Roman" w:hAnsi="Times New Roman"/>
                <w:lang w:val="en-US" w:eastAsia="zh-CN"/>
              </w:rPr>
              <w:t>数学</w:t>
            </w:r>
          </w:p>
        </w:tc>
        <w:tc>
          <w:tcPr>
            <w:tcW w:w="2803" w:type="dxa"/>
            <w:shd w:val="clear" w:color="auto" w:fill="auto"/>
            <w:vAlign w:val="center"/>
          </w:tcPr>
          <w:p>
            <w:pPr>
              <w:spacing w:line="360" w:lineRule="auto"/>
              <w:ind w:firstLine="420" w:firstLineChars="200"/>
              <w:jc w:val="center"/>
              <w:rPr>
                <w:rFonts w:ascii="Times New Roman" w:hAnsi="Times New Roman"/>
              </w:rPr>
            </w:pPr>
            <w:r>
              <w:rPr>
                <w:rFonts w:hint="eastAsia" w:ascii="Times New Roman" w:hAnsi="Times New Roman"/>
              </w:rPr>
              <w:t>学习领域/模块</w:t>
            </w:r>
          </w:p>
        </w:tc>
        <w:tc>
          <w:tcPr>
            <w:tcW w:w="3195" w:type="dxa"/>
            <w:gridSpan w:val="3"/>
            <w:shd w:val="clear" w:color="auto" w:fill="auto"/>
            <w:vAlign w:val="center"/>
          </w:tcPr>
          <w:p>
            <w:pPr>
              <w:spacing w:line="360" w:lineRule="auto"/>
              <w:jc w:val="center"/>
              <w:rPr>
                <w:rFonts w:hint="default" w:ascii="Times New Roman" w:hAnsi="Times New Roman" w:eastAsiaTheme="minorEastAsia"/>
                <w:lang w:val="en-US" w:eastAsia="zh-CN"/>
              </w:rPr>
            </w:pPr>
            <w:r>
              <w:rPr>
                <w:rFonts w:hint="eastAsia" w:ascii="Times New Roman" w:hAnsi="Times New Roman"/>
                <w:lang w:val="en-US" w:eastAsia="zh-CN"/>
              </w:rPr>
              <w:t>数与代数/数的认识、运算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trPr>
        <w:tc>
          <w:tcPr>
            <w:tcW w:w="1701" w:type="dxa"/>
            <w:shd w:val="clear" w:color="auto" w:fill="auto"/>
            <w:vAlign w:val="center"/>
          </w:tcPr>
          <w:p>
            <w:pPr>
              <w:spacing w:line="360" w:lineRule="auto"/>
              <w:ind w:firstLine="420" w:firstLineChars="200"/>
              <w:jc w:val="center"/>
              <w:rPr>
                <w:rFonts w:ascii="Times New Roman" w:hAnsi="Times New Roman"/>
              </w:rPr>
            </w:pPr>
            <w:r>
              <w:rPr>
                <w:rFonts w:ascii="Times New Roman" w:hAnsi="Times New Roman"/>
              </w:rPr>
              <w:t>年</w:t>
            </w:r>
            <w:r>
              <w:rPr>
                <w:rFonts w:hint="eastAsia" w:ascii="Times New Roman" w:hAnsi="Times New Roman"/>
              </w:rPr>
              <w:t xml:space="preserve">    </w:t>
            </w:r>
            <w:r>
              <w:rPr>
                <w:rFonts w:ascii="Times New Roman" w:hAnsi="Times New Roman"/>
              </w:rPr>
              <w:t>级</w:t>
            </w:r>
          </w:p>
        </w:tc>
        <w:tc>
          <w:tcPr>
            <w:tcW w:w="2077" w:type="dxa"/>
            <w:shd w:val="clear" w:color="auto" w:fill="auto"/>
            <w:vAlign w:val="center"/>
          </w:tcPr>
          <w:p>
            <w:pPr>
              <w:spacing w:line="360" w:lineRule="auto"/>
              <w:jc w:val="center"/>
              <w:rPr>
                <w:rFonts w:ascii="Times New Roman" w:hAnsi="Times New Roman"/>
              </w:rPr>
            </w:pPr>
            <w:r>
              <w:rPr>
                <w:rFonts w:hint="eastAsia" w:ascii="Times New Roman" w:hAnsi="Times New Roman"/>
                <w:lang w:val="en-US" w:eastAsia="zh-CN"/>
              </w:rPr>
              <w:t>三</w:t>
            </w:r>
            <w:r>
              <w:rPr>
                <w:rFonts w:hint="eastAsia" w:ascii="Times New Roman" w:hAnsi="Times New Roman"/>
              </w:rPr>
              <w:t>年级</w:t>
            </w:r>
          </w:p>
        </w:tc>
        <w:tc>
          <w:tcPr>
            <w:tcW w:w="2803" w:type="dxa"/>
            <w:shd w:val="clear" w:color="auto" w:fill="auto"/>
            <w:vAlign w:val="center"/>
          </w:tcPr>
          <w:p>
            <w:pPr>
              <w:spacing w:line="360" w:lineRule="auto"/>
              <w:ind w:firstLine="420" w:firstLineChars="200"/>
              <w:jc w:val="center"/>
              <w:rPr>
                <w:rFonts w:ascii="Times New Roman" w:hAnsi="Times New Roman"/>
              </w:rPr>
            </w:pPr>
            <w:r>
              <w:rPr>
                <w:rFonts w:ascii="Times New Roman" w:hAnsi="Times New Roman"/>
              </w:rPr>
              <w:t>教科书版本</w:t>
            </w:r>
            <w:r>
              <w:rPr>
                <w:rFonts w:hint="eastAsia" w:ascii="Times New Roman" w:hAnsi="Times New Roman"/>
              </w:rPr>
              <w:t>及章节</w:t>
            </w:r>
          </w:p>
        </w:tc>
        <w:tc>
          <w:tcPr>
            <w:tcW w:w="3195" w:type="dxa"/>
            <w:gridSpan w:val="3"/>
            <w:shd w:val="clear" w:color="auto" w:fill="auto"/>
            <w:vAlign w:val="center"/>
          </w:tcPr>
          <w:p>
            <w:pPr>
              <w:spacing w:line="360" w:lineRule="auto"/>
              <w:jc w:val="center"/>
              <w:rPr>
                <w:rFonts w:hint="default" w:ascii="Times New Roman" w:hAnsi="Times New Roman" w:eastAsiaTheme="minorEastAsia"/>
                <w:lang w:val="en-US" w:eastAsia="zh-CN"/>
              </w:rPr>
            </w:pPr>
            <w:r>
              <w:rPr>
                <w:rFonts w:hint="eastAsia" w:ascii="Times New Roman" w:hAnsi="Times New Roman"/>
                <w:lang w:val="en-US" w:eastAsia="zh-CN"/>
              </w:rPr>
              <w:t>北师大版</w:t>
            </w:r>
            <w:r>
              <w:rPr>
                <w:rFonts w:hint="eastAsia" w:ascii="Times New Roman" w:hAnsi="Times New Roman"/>
              </w:rPr>
              <w:t>，第</w:t>
            </w:r>
            <w:r>
              <w:rPr>
                <w:rFonts w:hint="eastAsia" w:ascii="Times New Roman" w:hAnsi="Times New Roman"/>
                <w:lang w:val="en-US" w:eastAsia="zh-CN"/>
              </w:rPr>
              <w:t>六</w:t>
            </w:r>
            <w:r>
              <w:rPr>
                <w:rFonts w:hint="eastAsia" w:ascii="Times New Roman" w:hAnsi="Times New Roman"/>
              </w:rPr>
              <w:t xml:space="preserve">单元 </w:t>
            </w:r>
            <w:r>
              <w:rPr>
                <w:rFonts w:hint="eastAsia" w:ascii="Times New Roman" w:hAnsi="Times New Roman"/>
                <w:lang w:val="en-US" w:eastAsia="zh-CN"/>
              </w:rPr>
              <w:t>认识分数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 w:hRule="atLeast"/>
        </w:trPr>
        <w:tc>
          <w:tcPr>
            <w:tcW w:w="9776" w:type="dxa"/>
            <w:gridSpan w:val="6"/>
            <w:shd w:val="clear" w:color="auto" w:fill="auto"/>
            <w:vAlign w:val="center"/>
          </w:tcPr>
          <w:p>
            <w:pPr>
              <w:spacing w:line="360" w:lineRule="auto"/>
              <w:ind w:firstLine="643" w:firstLineChars="200"/>
              <w:jc w:val="center"/>
              <w:rPr>
                <w:rFonts w:ascii="Times New Roman" w:hAnsi="Times New Roman" w:eastAsia="宋体"/>
                <w:b/>
                <w:sz w:val="32"/>
                <w:szCs w:val="32"/>
              </w:rPr>
            </w:pPr>
            <w:r>
              <w:rPr>
                <w:rFonts w:hint="eastAsia" w:ascii="Times New Roman" w:hAnsi="Times New Roman"/>
                <w:b/>
                <w:sz w:val="32"/>
                <w:szCs w:val="32"/>
              </w:rPr>
              <w:t>单元整体分析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 w:hRule="atLeast"/>
        </w:trPr>
        <w:tc>
          <w:tcPr>
            <w:tcW w:w="1701" w:type="dxa"/>
            <w:shd w:val="clear" w:color="auto" w:fill="auto"/>
            <w:vAlign w:val="center"/>
          </w:tcPr>
          <w:p>
            <w:pPr>
              <w:spacing w:line="360" w:lineRule="auto"/>
              <w:rPr>
                <w:rFonts w:ascii="Times New Roman" w:hAnsi="Times New Roman" w:eastAsia="宋体"/>
                <w:b/>
              </w:rPr>
            </w:pPr>
            <w:r>
              <w:rPr>
                <w:rFonts w:hint="eastAsia" w:ascii="Times New Roman" w:hAnsi="Times New Roman"/>
                <w:b/>
              </w:rPr>
              <w:t>单元学习主题</w:t>
            </w:r>
          </w:p>
        </w:tc>
        <w:tc>
          <w:tcPr>
            <w:tcW w:w="6300" w:type="dxa"/>
            <w:gridSpan w:val="3"/>
            <w:shd w:val="clear" w:color="auto" w:fill="auto"/>
            <w:vAlign w:val="center"/>
          </w:tcPr>
          <w:p>
            <w:pPr>
              <w:spacing w:line="360" w:lineRule="auto"/>
              <w:jc w:val="center"/>
              <w:rPr>
                <w:rFonts w:hint="default" w:ascii="Times New Roman" w:hAnsi="Times New Roman" w:eastAsiaTheme="minorEastAsia"/>
                <w:b/>
                <w:lang w:val="en-US" w:eastAsia="zh-CN"/>
              </w:rPr>
            </w:pPr>
            <w:r>
              <w:rPr>
                <w:rFonts w:hint="eastAsia" w:ascii="Times New Roman" w:hAnsi="Times New Roman"/>
                <w:b/>
                <w:lang w:val="en-US" w:eastAsia="zh-CN"/>
              </w:rPr>
              <w:t>认识分数</w:t>
            </w:r>
          </w:p>
        </w:tc>
        <w:tc>
          <w:tcPr>
            <w:tcW w:w="1000" w:type="dxa"/>
            <w:shd w:val="clear" w:color="auto" w:fill="auto"/>
            <w:vAlign w:val="center"/>
          </w:tcPr>
          <w:p>
            <w:pPr>
              <w:spacing w:line="360" w:lineRule="auto"/>
              <w:rPr>
                <w:rFonts w:ascii="Times New Roman" w:hAnsi="Times New Roman" w:eastAsia="宋体"/>
                <w:b/>
              </w:rPr>
            </w:pPr>
            <w:r>
              <w:rPr>
                <w:rFonts w:hint="eastAsia" w:ascii="Times New Roman" w:hAnsi="Times New Roman"/>
                <w:b/>
              </w:rPr>
              <w:t>课时数</w:t>
            </w:r>
          </w:p>
        </w:tc>
        <w:tc>
          <w:tcPr>
            <w:tcW w:w="775" w:type="dxa"/>
            <w:shd w:val="clear" w:color="auto" w:fill="auto"/>
            <w:vAlign w:val="center"/>
          </w:tcPr>
          <w:p>
            <w:pPr>
              <w:spacing w:line="360" w:lineRule="auto"/>
              <w:jc w:val="center"/>
              <w:rPr>
                <w:rFonts w:hint="default" w:ascii="Times New Roman" w:hAnsi="Times New Roman" w:eastAsiaTheme="minorEastAsia"/>
                <w:b/>
                <w:lang w:val="en-US" w:eastAsia="zh-CN"/>
              </w:rPr>
            </w:pPr>
            <w:r>
              <w:rPr>
                <w:rFonts w:hint="eastAsia" w:ascii="Times New Roman" w:hAnsi="Times New Roman"/>
                <w:b/>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 w:hRule="atLeast"/>
        </w:trPr>
        <w:tc>
          <w:tcPr>
            <w:tcW w:w="9776" w:type="dxa"/>
            <w:gridSpan w:val="6"/>
            <w:shd w:val="clear" w:color="auto" w:fill="auto"/>
          </w:tcPr>
          <w:p>
            <w:pPr>
              <w:snapToGrid w:val="0"/>
              <w:spacing w:line="360" w:lineRule="auto"/>
              <w:rPr>
                <w:rFonts w:ascii="Times New Roman" w:hAnsi="Times New Roman"/>
                <w:b/>
                <w:sz w:val="28"/>
                <w:szCs w:val="28"/>
              </w:rPr>
            </w:pPr>
            <w:r>
              <w:rPr>
                <w:rFonts w:ascii="Times New Roman" w:hAnsi="Times New Roman"/>
                <w:b/>
                <w:sz w:val="28"/>
                <w:szCs w:val="28"/>
              </w:rPr>
              <w:t>1.</w:t>
            </w:r>
            <w:r>
              <w:rPr>
                <w:rFonts w:hint="eastAsia" w:ascii="宋体" w:hAnsi="宋体" w:eastAsia="宋体" w:cs="宋体"/>
                <w:b/>
                <w:bCs/>
                <w:kern w:val="0"/>
                <w:sz w:val="24"/>
              </w:rPr>
              <w:t>单元</w:t>
            </w:r>
            <w:r>
              <w:rPr>
                <w:rFonts w:hint="eastAsia" w:ascii="宋体" w:hAnsi="宋体" w:cs="宋体"/>
                <w:b/>
                <w:bCs/>
                <w:kern w:val="0"/>
                <w:sz w:val="24"/>
              </w:rPr>
              <w:t>课标要求</w:t>
            </w:r>
          </w:p>
          <w:p>
            <w:pPr>
              <w:spacing w:line="276" w:lineRule="auto"/>
              <w:rPr>
                <w:rFonts w:hint="default" w:ascii="宋体" w:hAnsi="宋体" w:eastAsia="宋体"/>
                <w:szCs w:val="21"/>
                <w:lang w:val="en-US" w:eastAsia="zh-CN"/>
              </w:rPr>
            </w:pPr>
            <w:r>
              <w:rPr>
                <w:rFonts w:hint="eastAsia" w:ascii="宋体" w:hAnsi="宋体" w:eastAsia="宋体"/>
                <w:szCs w:val="21"/>
              </w:rPr>
              <w:t>（1）</w:t>
            </w:r>
            <w:r>
              <w:rPr>
                <w:rFonts w:hint="eastAsia" w:ascii="宋体" w:hAnsi="宋体" w:eastAsia="宋体"/>
                <w:szCs w:val="21"/>
                <w:lang w:val="en-US" w:eastAsia="zh-CN"/>
              </w:rPr>
              <w:t>能结合具体情境初步认识分数，能认、读、写分数。</w:t>
            </w:r>
          </w:p>
          <w:p>
            <w:pPr>
              <w:spacing w:line="276" w:lineRule="auto"/>
              <w:rPr>
                <w:rFonts w:hint="default" w:ascii="宋体" w:hAnsi="宋体" w:eastAsia="宋体"/>
                <w:szCs w:val="21"/>
                <w:lang w:val="en-US" w:eastAsia="zh-CN"/>
              </w:rPr>
            </w:pPr>
            <w:r>
              <w:rPr>
                <w:rFonts w:hint="eastAsia" w:ascii="宋体" w:hAnsi="宋体" w:eastAsia="宋体"/>
                <w:szCs w:val="21"/>
                <w:lang w:val="en-US" w:eastAsia="zh-CN"/>
              </w:rPr>
              <w:t>（2）能结合具体情境比较两个同分母分数的大小。</w:t>
            </w:r>
          </w:p>
          <w:p>
            <w:pPr>
              <w:spacing w:line="276" w:lineRule="auto"/>
              <w:rPr>
                <w:rFonts w:hint="eastAsia" w:ascii="宋体" w:hAnsi="宋体" w:eastAsia="宋体"/>
                <w:szCs w:val="21"/>
                <w:lang w:val="en-US" w:eastAsia="zh-CN"/>
              </w:rPr>
            </w:pPr>
            <w:r>
              <w:rPr>
                <w:rFonts w:hint="eastAsia" w:ascii="宋体" w:hAnsi="宋体" w:eastAsia="宋体"/>
                <w:szCs w:val="21"/>
                <w:lang w:val="en-US" w:eastAsia="zh-CN"/>
              </w:rPr>
              <w:t>（3）会进行同分母分数（分母小于10）的加减运算。</w:t>
            </w:r>
          </w:p>
          <w:p>
            <w:pPr>
              <w:spacing w:line="276" w:lineRule="auto"/>
              <w:rPr>
                <w:rFonts w:hint="default" w:ascii="宋体" w:hAnsi="宋体" w:eastAsia="宋体"/>
                <w:szCs w:val="21"/>
                <w:lang w:val="en-US" w:eastAsia="zh-CN"/>
              </w:rPr>
            </w:pPr>
            <w:r>
              <w:rPr>
                <w:rFonts w:hint="eastAsia" w:ascii="宋体" w:hAnsi="宋体" w:eastAsia="宋体"/>
                <w:szCs w:val="21"/>
                <w:lang w:val="en-US" w:eastAsia="zh-CN"/>
              </w:rPr>
              <w:t>（4）能运用分数表示日常生活中的一些事物，并能进行交流。</w:t>
            </w:r>
          </w:p>
          <w:p>
            <w:pPr>
              <w:spacing w:line="276" w:lineRule="auto"/>
              <w:rPr>
                <w:rFonts w:hint="eastAsia" w:ascii="宋体" w:hAnsi="宋体" w:eastAsia="宋体"/>
                <w:szCs w:val="21"/>
                <w:lang w:val="en-US" w:eastAsia="zh-CN"/>
              </w:rPr>
            </w:pPr>
            <w:r>
              <w:rPr>
                <w:rFonts w:hint="eastAsia" w:ascii="宋体" w:hAnsi="宋体" w:eastAsia="宋体"/>
                <w:szCs w:val="21"/>
                <w:lang w:val="en-US" w:eastAsia="zh-CN"/>
              </w:rPr>
              <w:t>（5）能运用分数及分数的运算解决生活中的简单问题，并能对结果的实际意义作出解释。</w:t>
            </w:r>
          </w:p>
          <w:p>
            <w:pPr>
              <w:spacing w:line="276" w:lineRule="auto"/>
              <w:rPr>
                <w:rFonts w:hint="eastAsia" w:ascii="宋体" w:hAnsi="宋体" w:eastAsia="宋体"/>
                <w:b/>
                <w:bCs/>
                <w:szCs w:val="21"/>
                <w:lang w:val="en-US" w:eastAsia="zh-CN"/>
              </w:rPr>
            </w:pPr>
            <w:r>
              <w:rPr>
                <w:rFonts w:hint="eastAsia" w:ascii="宋体" w:hAnsi="宋体" w:eastAsia="宋体"/>
                <w:b/>
                <w:bCs/>
                <w:sz w:val="24"/>
                <w:szCs w:val="24"/>
                <w:lang w:val="en-US" w:eastAsia="zh-CN"/>
              </w:rPr>
              <w:t>课标解析：</w:t>
            </w:r>
            <w:bookmarkStart w:id="0" w:name="_GoBack"/>
            <w:bookmarkEnd w:id="0"/>
          </w:p>
          <w:p>
            <w:pPr>
              <w:numPr>
                <w:ilvl w:val="0"/>
                <w:numId w:val="1"/>
              </w:numPr>
              <w:spacing w:line="276" w:lineRule="auto"/>
              <w:rPr>
                <w:rFonts w:hint="eastAsia" w:ascii="宋体" w:hAnsi="宋体" w:eastAsia="宋体"/>
                <w:szCs w:val="21"/>
                <w:lang w:val="en-US" w:eastAsia="zh-CN"/>
              </w:rPr>
            </w:pPr>
            <w:r>
              <w:rPr>
                <w:rFonts w:hint="eastAsia" w:ascii="宋体" w:hAnsi="宋体" w:eastAsia="宋体"/>
                <w:b/>
                <w:bCs/>
                <w:szCs w:val="21"/>
                <w:lang w:val="en-US" w:eastAsia="zh-CN"/>
              </w:rPr>
              <w:t>学什么</w:t>
            </w:r>
            <w:r>
              <w:rPr>
                <w:rFonts w:hint="eastAsia" w:ascii="宋体" w:hAnsi="宋体" w:eastAsia="宋体"/>
                <w:szCs w:val="21"/>
                <w:lang w:val="en-US" w:eastAsia="zh-CN"/>
              </w:rPr>
              <w:t>：初步认识一个物体或图形作为整体的分数和多个物体或图形作为整体的分数、理解分数的意义，能正确读、写分数，能比较分母不大于10的同分母（或同分子）分数的大小，会计算分母不大于10的同分母的加减法。</w:t>
            </w:r>
          </w:p>
          <w:p>
            <w:pPr>
              <w:numPr>
                <w:ilvl w:val="0"/>
                <w:numId w:val="1"/>
              </w:numPr>
              <w:spacing w:line="276" w:lineRule="auto"/>
              <w:rPr>
                <w:rFonts w:hint="eastAsia" w:ascii="宋体" w:hAnsi="宋体" w:eastAsia="宋体"/>
                <w:szCs w:val="21"/>
                <w:lang w:val="en-US" w:eastAsia="zh-CN"/>
              </w:rPr>
            </w:pPr>
            <w:r>
              <w:rPr>
                <w:rFonts w:hint="eastAsia" w:ascii="宋体" w:hAnsi="宋体" w:eastAsia="宋体"/>
                <w:b/>
                <w:bCs/>
                <w:szCs w:val="21"/>
                <w:lang w:val="en-US" w:eastAsia="zh-CN"/>
              </w:rPr>
              <w:t>怎么学</w:t>
            </w:r>
            <w:r>
              <w:rPr>
                <w:rFonts w:hint="eastAsia" w:ascii="宋体" w:hAnsi="宋体" w:eastAsia="宋体"/>
                <w:szCs w:val="21"/>
                <w:lang w:val="en-US" w:eastAsia="zh-CN"/>
              </w:rPr>
              <w:t xml:space="preserve">：通过“分苹果”、“分图形”、“吃西瓜”等具体的问题情境，在“涂一涂”“折一折”“画一画”“圈一圈”“比一比”“算一算”“说一说”“认一认”等实际操作活动中，采用学生独立思考与小组合作的学习相结合的学习模式，来完成本单元的学习。 </w:t>
            </w:r>
          </w:p>
          <w:p>
            <w:pPr>
              <w:numPr>
                <w:ilvl w:val="0"/>
                <w:numId w:val="1"/>
              </w:numPr>
              <w:spacing w:line="276" w:lineRule="auto"/>
              <w:rPr>
                <w:rFonts w:hint="default" w:ascii="宋体" w:hAnsi="宋体" w:eastAsia="宋体"/>
                <w:szCs w:val="21"/>
                <w:lang w:val="en-US" w:eastAsia="zh-CN"/>
              </w:rPr>
            </w:pPr>
            <w:r>
              <w:rPr>
                <w:rFonts w:hint="eastAsia" w:ascii="宋体" w:hAnsi="宋体" w:eastAsia="宋体"/>
                <w:b/>
                <w:bCs/>
                <w:szCs w:val="21"/>
                <w:lang w:val="en-US" w:eastAsia="zh-CN"/>
              </w:rPr>
              <w:t>学到什么程度</w:t>
            </w:r>
            <w:r>
              <w:rPr>
                <w:rFonts w:hint="eastAsia" w:ascii="宋体" w:hAnsi="宋体" w:eastAsia="宋体"/>
                <w:szCs w:val="21"/>
                <w:lang w:val="en-US" w:eastAsia="zh-CN"/>
              </w:rPr>
              <w:t>：初步认识分数及正确认、读、写分数，理解分数的意义，掌握比较分母不大于10的同分母（或同分子）分数的大小的方法，能计算分母不大于10的同分母的加减法，运用分数相关知识解决生活中实际问题。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 w:hRule="atLeast"/>
        </w:trPr>
        <w:tc>
          <w:tcPr>
            <w:tcW w:w="9776" w:type="dxa"/>
            <w:gridSpan w:val="6"/>
            <w:shd w:val="clear" w:color="auto" w:fill="auto"/>
          </w:tcPr>
          <w:p>
            <w:pPr>
              <w:pStyle w:val="4"/>
              <w:snapToGrid w:val="0"/>
              <w:spacing w:line="360" w:lineRule="auto"/>
              <w:ind w:firstLine="0" w:firstLineChars="0"/>
              <w:rPr>
                <w:rFonts w:ascii="宋体" w:hAnsi="宋体" w:eastAsia="宋体" w:cs="宋体"/>
                <w:b/>
                <w:bCs/>
                <w:kern w:val="0"/>
                <w:sz w:val="24"/>
              </w:rPr>
            </w:pPr>
            <w:r>
              <w:rPr>
                <w:rFonts w:hint="eastAsia" w:ascii="Times New Roman" w:hAnsi="Times New Roman"/>
                <w:b/>
                <w:sz w:val="28"/>
                <w:szCs w:val="28"/>
              </w:rPr>
              <w:t>2</w:t>
            </w:r>
            <w:r>
              <w:rPr>
                <w:rFonts w:ascii="Times New Roman" w:hAnsi="Times New Roman"/>
                <w:b/>
                <w:sz w:val="28"/>
                <w:szCs w:val="28"/>
              </w:rPr>
              <w:t>.</w:t>
            </w:r>
            <w:r>
              <w:rPr>
                <w:rFonts w:hint="eastAsia" w:ascii="宋体" w:hAnsi="宋体" w:eastAsia="宋体" w:cs="宋体"/>
                <w:b/>
                <w:bCs/>
                <w:kern w:val="0"/>
                <w:sz w:val="24"/>
              </w:rPr>
              <w:t>单元学习目标</w:t>
            </w:r>
          </w:p>
          <w:p>
            <w:pPr>
              <w:spacing w:line="276" w:lineRule="auto"/>
              <w:rPr>
                <w:rFonts w:hint="eastAsia" w:ascii="宋体" w:hAnsi="宋体" w:eastAsia="宋体"/>
                <w:szCs w:val="21"/>
              </w:rPr>
            </w:pPr>
            <w:r>
              <w:rPr>
                <w:rFonts w:hint="eastAsia" w:ascii="宋体" w:hAnsi="宋体" w:eastAsia="宋体"/>
                <w:szCs w:val="21"/>
              </w:rPr>
              <w:t>（</w:t>
            </w:r>
            <w:r>
              <w:rPr>
                <w:rFonts w:hint="eastAsia" w:ascii="宋体" w:hAnsi="宋体" w:eastAsia="宋体"/>
                <w:szCs w:val="21"/>
                <w:lang w:val="en-US" w:eastAsia="zh-CN"/>
              </w:rPr>
              <w:t>1</w:t>
            </w:r>
            <w:r>
              <w:rPr>
                <w:rFonts w:hint="eastAsia" w:ascii="宋体" w:hAnsi="宋体" w:eastAsia="宋体"/>
                <w:szCs w:val="21"/>
              </w:rPr>
              <w:t>）</w:t>
            </w:r>
            <w:r>
              <w:rPr>
                <w:rFonts w:hint="eastAsia" w:ascii="宋体" w:hAnsi="宋体" w:eastAsia="宋体"/>
                <w:szCs w:val="21"/>
                <w:lang w:val="en-US" w:eastAsia="zh-CN"/>
              </w:rPr>
              <w:t>在具体情景中，运用已有的生活经验和知识，利用实物操作、直观图形等，理解分数的意义，能认、读、写分数。</w:t>
            </w:r>
            <w:r>
              <w:rPr>
                <w:rFonts w:hint="eastAsia" w:ascii="宋体" w:hAnsi="宋体" w:eastAsia="宋体"/>
                <w:szCs w:val="21"/>
              </w:rPr>
              <w:t>（依据课程标准</w:t>
            </w:r>
            <w:r>
              <w:rPr>
                <w:rFonts w:hint="eastAsia" w:ascii="宋体" w:hAnsi="宋体" w:eastAsia="宋体"/>
                <w:szCs w:val="21"/>
                <w:lang w:val="en-US" w:eastAsia="zh-CN"/>
              </w:rPr>
              <w:t>1</w:t>
            </w:r>
            <w:r>
              <w:rPr>
                <w:rFonts w:hint="eastAsia" w:ascii="宋体" w:hAnsi="宋体" w:eastAsia="宋体"/>
                <w:szCs w:val="21"/>
              </w:rPr>
              <w:t>）</w:t>
            </w:r>
          </w:p>
          <w:p>
            <w:pPr>
              <w:spacing w:line="276" w:lineRule="auto"/>
              <w:rPr>
                <w:rFonts w:hint="eastAsia" w:ascii="宋体" w:hAnsi="宋体" w:eastAsia="宋体"/>
                <w:szCs w:val="21"/>
                <w:lang w:val="en-US" w:eastAsia="zh-CN"/>
              </w:rPr>
            </w:pPr>
            <w:r>
              <w:rPr>
                <w:rFonts w:hint="eastAsia" w:ascii="宋体" w:hAnsi="宋体" w:eastAsia="宋体"/>
                <w:szCs w:val="21"/>
                <w:lang w:val="en-US" w:eastAsia="zh-CN"/>
              </w:rPr>
              <w:t>（2）结合具体情景，通过“涂一涂”、“画一画”等活动，经历活动过程，比较分母不大于10的同分母（或分子）分数的大小。（依据课程标准2）</w:t>
            </w:r>
          </w:p>
          <w:p>
            <w:pPr>
              <w:spacing w:line="276" w:lineRule="auto"/>
              <w:rPr>
                <w:rFonts w:hint="eastAsia" w:ascii="宋体" w:hAnsi="宋体" w:eastAsia="宋体"/>
                <w:szCs w:val="21"/>
              </w:rPr>
            </w:pPr>
            <w:r>
              <w:rPr>
                <w:rFonts w:hint="eastAsia" w:ascii="宋体" w:hAnsi="宋体" w:eastAsia="宋体"/>
                <w:szCs w:val="21"/>
                <w:lang w:eastAsia="zh-CN"/>
              </w:rPr>
              <w:t>（</w:t>
            </w:r>
            <w:r>
              <w:rPr>
                <w:rFonts w:hint="eastAsia" w:ascii="宋体" w:hAnsi="宋体" w:eastAsia="宋体"/>
                <w:szCs w:val="21"/>
                <w:lang w:val="en-US" w:eastAsia="zh-CN"/>
              </w:rPr>
              <w:t>3</w:t>
            </w:r>
            <w:r>
              <w:rPr>
                <w:rFonts w:hint="eastAsia" w:ascii="宋体" w:hAnsi="宋体" w:eastAsia="宋体"/>
                <w:szCs w:val="21"/>
                <w:lang w:eastAsia="zh-CN"/>
              </w:rPr>
              <w:t>）</w:t>
            </w:r>
            <w:r>
              <w:rPr>
                <w:rFonts w:hint="eastAsia" w:ascii="宋体" w:hAnsi="宋体" w:eastAsia="宋体"/>
                <w:szCs w:val="21"/>
                <w:lang w:val="en-US" w:eastAsia="zh-CN"/>
              </w:rPr>
              <w:t>结合解决问题的过程，探索同分母分数（分母小于10）的加减运算。</w:t>
            </w:r>
            <w:r>
              <w:rPr>
                <w:rFonts w:hint="eastAsia" w:ascii="宋体" w:hAnsi="宋体" w:eastAsia="宋体"/>
                <w:szCs w:val="21"/>
              </w:rPr>
              <w:t>（依据课程标准</w:t>
            </w:r>
            <w:r>
              <w:rPr>
                <w:rFonts w:hint="eastAsia" w:ascii="宋体" w:hAnsi="宋体" w:eastAsia="宋体"/>
                <w:szCs w:val="21"/>
                <w:lang w:val="en-US" w:eastAsia="zh-CN"/>
              </w:rPr>
              <w:t>3</w:t>
            </w:r>
            <w:r>
              <w:rPr>
                <w:rFonts w:hint="eastAsia" w:ascii="宋体" w:hAnsi="宋体" w:eastAsia="宋体"/>
                <w:szCs w:val="21"/>
              </w:rPr>
              <w:t>）</w:t>
            </w:r>
          </w:p>
          <w:p>
            <w:pPr>
              <w:spacing w:line="276" w:lineRule="auto"/>
              <w:rPr>
                <w:rFonts w:hint="default" w:ascii="宋体" w:hAnsi="宋体" w:eastAsia="宋体"/>
                <w:szCs w:val="21"/>
                <w:lang w:val="en-US" w:eastAsia="zh-CN"/>
              </w:rPr>
            </w:pPr>
            <w:r>
              <w:rPr>
                <w:rFonts w:hint="eastAsia" w:ascii="宋体" w:hAnsi="宋体" w:eastAsia="宋体"/>
                <w:szCs w:val="21"/>
                <w:lang w:eastAsia="zh-CN"/>
              </w:rPr>
              <w:t>（</w:t>
            </w:r>
            <w:r>
              <w:rPr>
                <w:rFonts w:hint="eastAsia" w:ascii="宋体" w:hAnsi="宋体" w:eastAsia="宋体"/>
                <w:szCs w:val="21"/>
                <w:lang w:val="en-US" w:eastAsia="zh-CN"/>
              </w:rPr>
              <w:t>4</w:t>
            </w:r>
            <w:r>
              <w:rPr>
                <w:rFonts w:hint="eastAsia" w:ascii="宋体" w:hAnsi="宋体" w:eastAsia="宋体"/>
                <w:szCs w:val="21"/>
                <w:lang w:eastAsia="zh-CN"/>
              </w:rPr>
              <w:t>）</w:t>
            </w:r>
            <w:r>
              <w:rPr>
                <w:rFonts w:hint="eastAsia" w:ascii="宋体" w:hAnsi="宋体" w:eastAsia="宋体"/>
                <w:szCs w:val="21"/>
                <w:lang w:val="en-US" w:eastAsia="zh-CN"/>
              </w:rPr>
              <w:t>在具体的问题情境中，利用面积模型、集合模型认识分数、进行相关的比较大小和加减计算。</w:t>
            </w:r>
            <w:r>
              <w:rPr>
                <w:rFonts w:hint="eastAsia" w:ascii="宋体" w:hAnsi="宋体" w:eastAsia="宋体"/>
                <w:szCs w:val="21"/>
              </w:rPr>
              <w:t>（依据课程标准</w:t>
            </w:r>
            <w:r>
              <w:rPr>
                <w:rFonts w:hint="eastAsia" w:ascii="宋体" w:hAnsi="宋体" w:eastAsia="宋体"/>
                <w:szCs w:val="21"/>
                <w:lang w:val="en-US" w:eastAsia="zh-CN"/>
              </w:rPr>
              <w:t>1，2,3</w:t>
            </w:r>
            <w:r>
              <w:rPr>
                <w:rFonts w:hint="eastAsia" w:ascii="宋体" w:hAnsi="宋体" w:eastAsia="宋体"/>
                <w:szCs w:val="21"/>
              </w:rPr>
              <w:t>）</w:t>
            </w:r>
          </w:p>
          <w:p>
            <w:pPr>
              <w:spacing w:line="276" w:lineRule="auto"/>
              <w:rPr>
                <w:rFonts w:hint="eastAsia" w:ascii="宋体" w:hAnsi="宋体" w:eastAsia="宋体"/>
                <w:szCs w:val="21"/>
              </w:rPr>
            </w:pPr>
            <w:r>
              <w:rPr>
                <w:rFonts w:hint="eastAsia" w:ascii="宋体" w:hAnsi="宋体" w:eastAsia="宋体"/>
                <w:szCs w:val="21"/>
                <w:lang w:eastAsia="zh-CN"/>
              </w:rPr>
              <w:t>（</w:t>
            </w:r>
            <w:r>
              <w:rPr>
                <w:rFonts w:hint="eastAsia" w:ascii="宋体" w:hAnsi="宋体" w:eastAsia="宋体"/>
                <w:szCs w:val="21"/>
                <w:lang w:val="en-US" w:eastAsia="zh-CN"/>
              </w:rPr>
              <w:t>5</w:t>
            </w:r>
            <w:r>
              <w:rPr>
                <w:rFonts w:hint="eastAsia" w:ascii="宋体" w:hAnsi="宋体" w:eastAsia="宋体"/>
                <w:szCs w:val="21"/>
                <w:lang w:eastAsia="zh-CN"/>
              </w:rPr>
              <w:t>）</w:t>
            </w:r>
            <w:r>
              <w:rPr>
                <w:rFonts w:hint="eastAsia" w:ascii="宋体" w:hAnsi="宋体" w:eastAsia="宋体"/>
                <w:szCs w:val="21"/>
                <w:lang w:val="en-US" w:eastAsia="zh-CN"/>
              </w:rPr>
              <w:t>能运用分数表示一些事物，解决一些简单的实际问题，并进行交流。</w:t>
            </w:r>
            <w:r>
              <w:rPr>
                <w:rFonts w:hint="eastAsia" w:ascii="宋体" w:hAnsi="宋体" w:eastAsia="宋体"/>
                <w:szCs w:val="21"/>
              </w:rPr>
              <w:t>（依据课程标准</w:t>
            </w:r>
            <w:r>
              <w:rPr>
                <w:rFonts w:hint="eastAsia" w:ascii="宋体" w:hAnsi="宋体" w:eastAsia="宋体"/>
                <w:szCs w:val="21"/>
                <w:lang w:val="en-US" w:eastAsia="zh-CN"/>
              </w:rPr>
              <w:t>4，5</w:t>
            </w:r>
            <w:r>
              <w:rPr>
                <w:rFonts w:hint="eastAsia" w:ascii="宋体" w:hAnsi="宋体" w:eastAsia="宋体"/>
                <w:szCs w:val="21"/>
              </w:rPr>
              <w:t>）</w:t>
            </w:r>
          </w:p>
          <w:p>
            <w:pPr>
              <w:spacing w:line="276" w:lineRule="auto"/>
              <w:rPr>
                <w:rFonts w:hint="eastAsia" w:ascii="宋体" w:hAnsi="宋体" w:eastAsia="宋体"/>
                <w:szCs w:val="21"/>
                <w:lang w:val="en-US" w:eastAsia="zh-CN"/>
              </w:rPr>
            </w:pPr>
            <w:r>
              <w:rPr>
                <w:rFonts w:hint="eastAsia" w:ascii="宋体" w:hAnsi="宋体" w:eastAsia="宋体"/>
                <w:szCs w:val="21"/>
                <w:lang w:eastAsia="zh-CN"/>
              </w:rPr>
              <w:t>（</w:t>
            </w:r>
            <w:r>
              <w:rPr>
                <w:rFonts w:hint="eastAsia" w:ascii="宋体" w:hAnsi="宋体" w:eastAsia="宋体"/>
                <w:szCs w:val="21"/>
                <w:lang w:val="en-US" w:eastAsia="zh-CN"/>
              </w:rPr>
              <w:t>6</w:t>
            </w:r>
            <w:r>
              <w:rPr>
                <w:rFonts w:hint="eastAsia" w:ascii="宋体" w:hAnsi="宋体" w:eastAsia="宋体"/>
                <w:szCs w:val="21"/>
                <w:lang w:eastAsia="zh-CN"/>
              </w:rPr>
              <w:t>）</w:t>
            </w:r>
            <w:r>
              <w:rPr>
                <w:rFonts w:hint="eastAsia" w:ascii="宋体" w:hAnsi="宋体" w:eastAsia="宋体"/>
                <w:szCs w:val="21"/>
                <w:lang w:val="en-US" w:eastAsia="zh-CN"/>
              </w:rPr>
              <w:t>用分数表示事物的过程中体会学习分数的价值。</w:t>
            </w:r>
            <w:r>
              <w:rPr>
                <w:rFonts w:hint="eastAsia" w:ascii="宋体" w:hAnsi="宋体" w:eastAsia="宋体"/>
                <w:szCs w:val="21"/>
              </w:rPr>
              <w:t>（依据课程标准</w:t>
            </w:r>
            <w:r>
              <w:rPr>
                <w:rFonts w:hint="eastAsia" w:ascii="宋体" w:hAnsi="宋体" w:eastAsia="宋体"/>
                <w:szCs w:val="21"/>
                <w:lang w:val="en-US" w:eastAsia="zh-CN"/>
              </w:rPr>
              <w:t>4，5</w:t>
            </w:r>
            <w:r>
              <w:rPr>
                <w:rFonts w:hint="eastAsia" w:ascii="宋体" w:hAnsi="宋体" w:eastAsia="宋体"/>
                <w:szCs w:val="21"/>
              </w:rPr>
              <w:t>）</w:t>
            </w:r>
          </w:p>
          <w:p>
            <w:pPr>
              <w:spacing w:line="276" w:lineRule="auto"/>
              <w:rPr>
                <w:rFonts w:ascii="宋体" w:hAnsi="宋体" w:eastAsia="宋体"/>
                <w:szCs w:val="21"/>
              </w:rPr>
            </w:pPr>
            <w:r>
              <w:rPr>
                <w:rFonts w:hint="eastAsia" w:ascii="宋体" w:hAnsi="宋体" w:eastAsia="宋体"/>
                <w:szCs w:val="21"/>
                <w:lang w:val="en-US" w:eastAsia="zh-CN"/>
              </w:rPr>
              <w:t>（7）通过听例题讲解、自主归纳、巩固练习，认识到分数在生活中的实际应用，提高应用意识。（</w:t>
            </w:r>
            <w:r>
              <w:rPr>
                <w:rFonts w:hint="eastAsia" w:ascii="宋体" w:hAnsi="宋体" w:eastAsia="宋体"/>
                <w:szCs w:val="21"/>
              </w:rPr>
              <w:t>依据课程标准</w:t>
            </w:r>
            <w:r>
              <w:rPr>
                <w:rFonts w:hint="eastAsia" w:ascii="宋体" w:hAnsi="宋体" w:eastAsia="宋体"/>
                <w:szCs w:val="21"/>
                <w:lang w:val="en-US" w:eastAsia="zh-CN"/>
              </w:rPr>
              <w:t>1，2，3，4，5）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trPr>
        <w:tc>
          <w:tcPr>
            <w:tcW w:w="9776" w:type="dxa"/>
            <w:gridSpan w:val="6"/>
            <w:shd w:val="clear" w:color="auto" w:fill="auto"/>
            <w:vAlign w:val="center"/>
          </w:tcPr>
          <w:p>
            <w:pPr>
              <w:numPr>
                <w:ilvl w:val="0"/>
                <w:numId w:val="2"/>
              </w:numPr>
              <w:spacing w:line="360" w:lineRule="auto"/>
              <w:rPr>
                <w:rFonts w:hint="eastAsia" w:ascii="宋体" w:hAnsi="宋体" w:eastAsia="宋体" w:cs="宋体"/>
                <w:b/>
                <w:bCs/>
                <w:kern w:val="0"/>
                <w:sz w:val="24"/>
              </w:rPr>
            </w:pPr>
            <w:r>
              <w:rPr>
                <w:rFonts w:hint="eastAsia" w:ascii="宋体" w:hAnsi="宋体" w:eastAsia="宋体" w:cs="宋体"/>
                <w:b/>
                <w:bCs/>
                <w:kern w:val="0"/>
                <w:sz w:val="24"/>
              </w:rPr>
              <w:t>单元评价任务</w:t>
            </w:r>
          </w:p>
          <w:p>
            <w:pPr>
              <w:spacing w:line="276" w:lineRule="auto"/>
              <w:rPr>
                <w:rFonts w:hint="eastAsia" w:ascii="宋体" w:hAnsi="宋体" w:eastAsia="宋体"/>
                <w:szCs w:val="21"/>
              </w:rPr>
            </w:pPr>
            <w:r>
              <w:rPr>
                <w:rFonts w:hint="eastAsia" w:ascii="宋体" w:hAnsi="宋体" w:eastAsia="宋体"/>
                <w:szCs w:val="21"/>
              </w:rPr>
              <w:t>（</w:t>
            </w:r>
            <w:r>
              <w:rPr>
                <w:rFonts w:hint="eastAsia" w:ascii="宋体" w:hAnsi="宋体" w:eastAsia="宋体"/>
                <w:szCs w:val="21"/>
                <w:lang w:val="en-US" w:eastAsia="zh-CN"/>
              </w:rPr>
              <w:t>1</w:t>
            </w:r>
            <w:r>
              <w:rPr>
                <w:rFonts w:hint="eastAsia" w:ascii="宋体" w:hAnsi="宋体" w:eastAsia="宋体"/>
                <w:szCs w:val="21"/>
              </w:rPr>
              <w:t>）</w:t>
            </w:r>
            <w:r>
              <w:rPr>
                <w:rFonts w:hint="eastAsia" w:ascii="宋体" w:hAnsi="宋体" w:eastAsia="宋体"/>
                <w:szCs w:val="21"/>
                <w:lang w:val="en-US" w:eastAsia="zh-CN"/>
              </w:rPr>
              <w:t>能通过“填一填”、“涂一涂”、“圈一圈”等直观操作，初步理解分数的意义，能认、读、写简单的分数。</w:t>
            </w:r>
            <w:r>
              <w:rPr>
                <w:rFonts w:hint="eastAsia" w:ascii="宋体" w:hAnsi="宋体" w:eastAsia="宋体"/>
                <w:szCs w:val="21"/>
              </w:rPr>
              <w:t>（</w:t>
            </w:r>
            <w:r>
              <w:rPr>
                <w:rFonts w:hint="eastAsia" w:ascii="宋体" w:hAnsi="宋体" w:eastAsia="宋体"/>
                <w:szCs w:val="21"/>
                <w:lang w:val="en-US" w:eastAsia="zh-CN"/>
              </w:rPr>
              <w:t>如：练习五 第1题、第2题 第3题 第4题 第10题，</w:t>
            </w:r>
            <w:r>
              <w:rPr>
                <w:rFonts w:hint="eastAsia" w:ascii="宋体" w:hAnsi="宋体" w:eastAsia="宋体"/>
                <w:szCs w:val="21"/>
              </w:rPr>
              <w:t>检测目标</w:t>
            </w:r>
            <w:r>
              <w:rPr>
                <w:rFonts w:hint="eastAsia" w:ascii="宋体" w:hAnsi="宋体" w:eastAsia="宋体"/>
                <w:szCs w:val="21"/>
                <w:lang w:val="en-US" w:eastAsia="zh-CN"/>
              </w:rPr>
              <w:t>1，4，5,6</w:t>
            </w:r>
            <w:r>
              <w:rPr>
                <w:rFonts w:hint="eastAsia" w:ascii="宋体" w:hAnsi="宋体" w:eastAsia="宋体"/>
                <w:szCs w:val="21"/>
              </w:rPr>
              <w:t>）</w:t>
            </w:r>
          </w:p>
          <w:p>
            <w:pPr>
              <w:spacing w:line="276" w:lineRule="auto"/>
              <w:rPr>
                <w:rFonts w:ascii="宋体" w:hAnsi="宋体" w:eastAsia="宋体"/>
                <w:szCs w:val="21"/>
              </w:rPr>
            </w:pPr>
            <w:r>
              <w:rPr>
                <w:rFonts w:hint="eastAsia" w:ascii="宋体" w:hAnsi="宋体" w:eastAsia="宋体"/>
                <w:szCs w:val="21"/>
              </w:rPr>
              <w:t>（2）</w:t>
            </w:r>
            <w:r>
              <w:rPr>
                <w:rFonts w:hint="eastAsia" w:ascii="宋体" w:hAnsi="宋体" w:eastAsia="宋体"/>
                <w:szCs w:val="21"/>
                <w:lang w:val="en-US" w:eastAsia="zh-CN"/>
              </w:rPr>
              <w:t>能通过“涂一涂”、“比一比”等具体操作，分母不大于10的同分母（或分子）分数的大小。</w:t>
            </w:r>
            <w:r>
              <w:rPr>
                <w:rFonts w:hint="eastAsia" w:ascii="宋体" w:hAnsi="宋体" w:eastAsia="宋体"/>
                <w:szCs w:val="21"/>
              </w:rPr>
              <w:t>（</w:t>
            </w:r>
            <w:r>
              <w:rPr>
                <w:rFonts w:hint="eastAsia" w:ascii="宋体" w:hAnsi="宋体" w:eastAsia="宋体"/>
                <w:szCs w:val="21"/>
                <w:lang w:val="en-US" w:eastAsia="zh-CN"/>
              </w:rPr>
              <w:t>如：练习五 第5题，</w:t>
            </w:r>
            <w:r>
              <w:rPr>
                <w:rFonts w:hint="eastAsia" w:ascii="宋体" w:hAnsi="宋体" w:eastAsia="宋体"/>
                <w:szCs w:val="21"/>
              </w:rPr>
              <w:t>检测目标</w:t>
            </w:r>
            <w:r>
              <w:rPr>
                <w:rFonts w:hint="eastAsia" w:ascii="宋体" w:hAnsi="宋体" w:eastAsia="宋体"/>
                <w:szCs w:val="21"/>
                <w:lang w:val="en-US" w:eastAsia="zh-CN"/>
              </w:rPr>
              <w:t>2,4</w:t>
            </w:r>
            <w:r>
              <w:rPr>
                <w:rFonts w:hint="eastAsia" w:ascii="宋体" w:hAnsi="宋体" w:eastAsia="宋体"/>
                <w:szCs w:val="21"/>
              </w:rPr>
              <w:t>）</w:t>
            </w:r>
          </w:p>
          <w:p>
            <w:pPr>
              <w:spacing w:line="276" w:lineRule="auto"/>
              <w:rPr>
                <w:rFonts w:hint="default" w:ascii="宋体" w:hAnsi="宋体" w:eastAsia="宋体"/>
                <w:szCs w:val="21"/>
                <w:lang w:val="en-US" w:eastAsia="zh-CN"/>
              </w:rPr>
            </w:pPr>
            <w:r>
              <w:rPr>
                <w:rFonts w:hint="eastAsia" w:ascii="宋体" w:hAnsi="宋体" w:eastAsia="宋体"/>
                <w:szCs w:val="21"/>
              </w:rPr>
              <w:t>（</w:t>
            </w:r>
            <w:r>
              <w:rPr>
                <w:rFonts w:hint="eastAsia" w:ascii="宋体" w:hAnsi="宋体" w:eastAsia="宋体"/>
                <w:szCs w:val="21"/>
                <w:lang w:val="en-US" w:eastAsia="zh-CN"/>
              </w:rPr>
              <w:t>3</w:t>
            </w:r>
            <w:r>
              <w:rPr>
                <w:rFonts w:hint="eastAsia" w:ascii="宋体" w:hAnsi="宋体" w:eastAsia="宋体"/>
                <w:szCs w:val="21"/>
              </w:rPr>
              <w:t>）</w:t>
            </w:r>
            <w:r>
              <w:rPr>
                <w:rFonts w:hint="eastAsia" w:ascii="宋体" w:hAnsi="宋体" w:eastAsia="宋体"/>
                <w:szCs w:val="21"/>
                <w:lang w:val="en-US" w:eastAsia="zh-CN"/>
              </w:rPr>
              <w:t>会进行同分母分数(分母小于10）的加减运算，并能解决实际问题。（如：练习五 第6题 第7题 第8题 第9题，检测目标3,4,5,6,7）</w:t>
            </w:r>
          </w:p>
          <w:p>
            <w:pPr>
              <w:spacing w:line="276" w:lineRule="auto"/>
              <w:rPr>
                <w:rFonts w:hint="eastAsia" w:ascii="宋体" w:hAnsi="宋体" w:eastAsia="宋体"/>
                <w:szCs w:val="21"/>
                <w:lang w:val="en-US" w:eastAsia="zh-CN"/>
              </w:rPr>
            </w:pPr>
            <w:r>
              <w:rPr>
                <w:rFonts w:hint="eastAsia" w:ascii="宋体" w:hAnsi="宋体" w:eastAsia="宋体"/>
                <w:szCs w:val="21"/>
                <w:lang w:eastAsia="zh-CN"/>
              </w:rPr>
              <w:t>（</w:t>
            </w:r>
            <w:r>
              <w:rPr>
                <w:rFonts w:hint="eastAsia" w:ascii="宋体" w:hAnsi="宋体" w:eastAsia="宋体"/>
                <w:szCs w:val="21"/>
                <w:lang w:val="en-US" w:eastAsia="zh-CN"/>
              </w:rPr>
              <w:t>4</w:t>
            </w:r>
            <w:r>
              <w:rPr>
                <w:rFonts w:hint="eastAsia" w:ascii="宋体" w:hAnsi="宋体" w:eastAsia="宋体"/>
                <w:szCs w:val="21"/>
                <w:lang w:eastAsia="zh-CN"/>
              </w:rPr>
              <w:t>）</w:t>
            </w:r>
            <w:r>
              <w:rPr>
                <w:rFonts w:hint="eastAsia" w:ascii="宋体" w:hAnsi="宋体" w:eastAsia="宋体"/>
                <w:szCs w:val="21"/>
                <w:lang w:val="en-US" w:eastAsia="zh-CN"/>
              </w:rPr>
              <w:t>在具体情景中，能独立思考提出问题并解决问题。（如：练习五 第4题，检测目标4,5,6）</w:t>
            </w:r>
          </w:p>
          <w:p>
            <w:pPr>
              <w:spacing w:line="276" w:lineRule="auto"/>
              <w:rPr>
                <w:rFonts w:hint="default" w:ascii="宋体" w:hAnsi="宋体" w:eastAsia="宋体"/>
                <w:szCs w:val="21"/>
                <w:lang w:val="en-US" w:eastAsia="zh-CN"/>
              </w:rPr>
            </w:pPr>
            <w:r>
              <w:rPr>
                <w:rFonts w:hint="eastAsia" w:ascii="宋体" w:hAnsi="宋体" w:eastAsia="宋体"/>
                <w:szCs w:val="21"/>
                <w:lang w:val="en-US" w:eastAsia="zh-CN"/>
              </w:rPr>
              <w:t>（5）能通过实际动手操作，理解分数的意义。认识到分数在生活中的实际应用，体会学习分数的价值，提高应用意识。（如：练习五 第11题，检测目标1,4,5，6,7）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9776" w:type="dxa"/>
            <w:gridSpan w:val="6"/>
            <w:shd w:val="clear" w:color="auto" w:fill="auto"/>
            <w:vAlign w:val="center"/>
          </w:tcPr>
          <w:p>
            <w:pPr>
              <w:spacing w:line="360" w:lineRule="auto"/>
              <w:rPr>
                <w:rFonts w:ascii="Times New Roman" w:hAnsi="Times New Roman"/>
                <w:b/>
                <w:sz w:val="28"/>
                <w:szCs w:val="28"/>
              </w:rPr>
            </w:pPr>
            <w:r>
              <w:rPr>
                <w:rFonts w:hint="eastAsia" w:ascii="Times New Roman" w:hAnsi="Times New Roman"/>
                <w:b/>
                <w:sz w:val="28"/>
                <w:szCs w:val="28"/>
              </w:rPr>
              <w:t>4.</w:t>
            </w:r>
            <w:r>
              <w:rPr>
                <w:rFonts w:hint="eastAsia" w:ascii="宋体" w:hAnsi="宋体" w:eastAsia="宋体" w:cs="宋体"/>
                <w:b/>
                <w:bCs/>
                <w:kern w:val="0"/>
                <w:sz w:val="24"/>
              </w:rPr>
              <w:t>单元教学结构图</w:t>
            </w:r>
          </w:p>
          <w:p>
            <w:pPr>
              <w:spacing w:line="276" w:lineRule="auto"/>
              <w:ind w:firstLine="420" w:firstLineChars="200"/>
              <w:jc w:val="left"/>
              <w:rPr>
                <w:rFonts w:hint="default" w:ascii="宋体" w:hAnsi="宋体" w:eastAsiaTheme="minorEastAsia"/>
                <w:szCs w:val="21"/>
                <w:lang w:eastAsia="zh-CN"/>
              </w:rPr>
            </w:pPr>
            <w:r>
              <w:rPr>
                <w:sz w:val="21"/>
              </w:rPr>
              <mc:AlternateContent>
                <mc:Choice Requires="wps">
                  <w:drawing>
                    <wp:anchor distT="0" distB="0" distL="114300" distR="114300" simplePos="0" relativeHeight="251660288" behindDoc="0" locked="0" layoutInCell="1" allowOverlap="1">
                      <wp:simplePos x="0" y="0"/>
                      <wp:positionH relativeFrom="column">
                        <wp:posOffset>4135755</wp:posOffset>
                      </wp:positionH>
                      <wp:positionV relativeFrom="paragraph">
                        <wp:posOffset>474980</wp:posOffset>
                      </wp:positionV>
                      <wp:extent cx="75565" cy="1000125"/>
                      <wp:effectExtent l="0" t="4445" r="38735" b="5080"/>
                      <wp:wrapNone/>
                      <wp:docPr id="9" name="右大括号 9"/>
                      <wp:cNvGraphicFramePr/>
                      <a:graphic xmlns:a="http://schemas.openxmlformats.org/drawingml/2006/main">
                        <a:graphicData uri="http://schemas.microsoft.com/office/word/2010/wordprocessingShape">
                          <wps:wsp>
                            <wps:cNvSpPr/>
                            <wps:spPr>
                              <a:xfrm>
                                <a:off x="4909185" y="1537335"/>
                                <a:ext cx="75565" cy="1000125"/>
                              </a:xfrm>
                              <a:prstGeom prst="rightBrac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_x0000_s1026" o:spid="_x0000_s1026" o:spt="88" type="#_x0000_t88" style="position:absolute;left:0pt;margin-left:325.65pt;margin-top:37.4pt;height:78.75pt;width:5.95pt;z-index:251660288;mso-width-relative:page;mso-height-relative:page;" filled="f" stroked="t" coordsize="21600,21600" o:gfxdata="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7ZzMENkAAAAKAQAADwAAAAAAAAABACAAAAAiAAAAZHJzL2Rvd25yZXYueG1s&#10;UEsBAhQAFAAAAAgAh07iQIrh3wD3AQAAxAMAAA4AAAAAAAAAAQAgAAAAKAEAAGRycy9lMm9Eb2Mu&#10;eG1sUEsFBgAAAAAGAAYAWQEAAJEFAAAAAA==&#10;" adj="135,10800">
                      <v:fill on="f" focussize="0,0"/>
                      <v:stroke weight="0.5pt" color="#000000 [3200]" miterlimit="8" joinstyle="miter"/>
                      <v:imagedata o:title=""/>
                      <o:lock v:ext="edit" aspectratio="f"/>
                    </v:shape>
                  </w:pict>
                </mc:Fallback>
              </mc:AlternateContent>
            </w:r>
            <w:r>
              <w:rPr>
                <w:rFonts w:ascii="宋体" w:hAnsi="宋体" w:eastAsia="宋体" w:cs="宋体"/>
                <w:sz w:val="24"/>
                <w:szCs w:val="24"/>
              </w:rPr>
              <w:drawing>
                <wp:anchor distT="0" distB="0" distL="114300" distR="114300" simplePos="0" relativeHeight="251659264" behindDoc="0" locked="0" layoutInCell="1" allowOverlap="1">
                  <wp:simplePos x="0" y="0"/>
                  <wp:positionH relativeFrom="column">
                    <wp:posOffset>-59055</wp:posOffset>
                  </wp:positionH>
                  <wp:positionV relativeFrom="paragraph">
                    <wp:posOffset>248920</wp:posOffset>
                  </wp:positionV>
                  <wp:extent cx="6216650" cy="1511935"/>
                  <wp:effectExtent l="0" t="0" r="12700" b="12065"/>
                  <wp:wrapSquare wrapText="bothSides"/>
                  <wp:docPr id="8"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 descr="IMG_256"/>
                          <pic:cNvPicPr>
                            <a:picLocks noChangeAspect="1"/>
                          </pic:cNvPicPr>
                        </pic:nvPicPr>
                        <pic:blipFill>
                          <a:blip r:embed="rId4"/>
                          <a:stretch>
                            <a:fillRect/>
                          </a:stretch>
                        </pic:blipFill>
                        <pic:spPr>
                          <a:xfrm>
                            <a:off x="0" y="0"/>
                            <a:ext cx="6216650" cy="1511935"/>
                          </a:xfrm>
                          <a:prstGeom prst="rect">
                            <a:avLst/>
                          </a:prstGeom>
                          <a:noFill/>
                          <a:ln w="9525">
                            <a:noFill/>
                          </a:ln>
                        </pic:spPr>
                      </pic:pic>
                    </a:graphicData>
                  </a:graphic>
                </wp:anchor>
              </w:drawing>
            </w:r>
            <w:r>
              <w:rPr>
                <w:rFonts w:hint="eastAsia" w:ascii="宋体" w:hAnsi="宋体" w:eastAsia="宋体"/>
                <w:szCs w:val="21"/>
              </w:rPr>
              <w:t>本单元的主题是</w:t>
            </w:r>
            <w:r>
              <w:rPr>
                <w:rFonts w:hint="eastAsia" w:ascii="宋体" w:hAnsi="宋体" w:eastAsia="宋体"/>
                <w:szCs w:val="21"/>
                <w:lang w:val="en-US" w:eastAsia="zh-CN"/>
              </w:rPr>
              <w:t>加与减</w:t>
            </w:r>
            <w:r>
              <w:rPr>
                <w:rFonts w:hint="eastAsia" w:ascii="宋体" w:hAnsi="宋体" w:eastAsia="宋体"/>
                <w:szCs w:val="21"/>
              </w:rPr>
              <w:t>，共分为</w:t>
            </w:r>
            <w:r>
              <w:rPr>
                <w:rFonts w:hint="eastAsia" w:ascii="宋体" w:hAnsi="宋体" w:eastAsia="宋体"/>
                <w:szCs w:val="21"/>
                <w:lang w:val="en-US" w:eastAsia="zh-CN"/>
              </w:rPr>
              <w:t>5</w:t>
            </w:r>
            <w:r>
              <w:rPr>
                <w:rFonts w:hint="eastAsia" w:ascii="宋体" w:hAnsi="宋体" w:eastAsia="宋体"/>
                <w:szCs w:val="21"/>
              </w:rPr>
              <w:t>个课题，</w:t>
            </w:r>
            <w:r>
              <w:rPr>
                <w:rFonts w:hint="eastAsia" w:ascii="宋体" w:hAnsi="宋体" w:eastAsia="宋体"/>
                <w:szCs w:val="21"/>
                <w:lang w:val="en-US" w:eastAsia="zh-CN"/>
              </w:rPr>
              <w:t>8</w:t>
            </w:r>
            <w:r>
              <w:rPr>
                <w:rFonts w:hint="eastAsia" w:ascii="宋体" w:hAnsi="宋体" w:eastAsia="宋体"/>
                <w:szCs w:val="21"/>
              </w:rPr>
              <w:t>个课时完成。</w:t>
            </w:r>
          </w:p>
        </w:tc>
      </w:tr>
    </w:tbl>
    <w:p>
      <w:pPr>
        <w:spacing w:line="360" w:lineRule="auto"/>
        <w:ind w:firstLine="643" w:firstLineChars="200"/>
        <w:jc w:val="center"/>
        <w:rPr>
          <w:rFonts w:ascii="Times New Roman" w:hAnsi="Times New Roman"/>
          <w:b/>
          <w:sz w:val="32"/>
          <w:szCs w:val="32"/>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D5051C3"/>
    <w:multiLevelType w:val="singleLevel"/>
    <w:tmpl w:val="2D5051C3"/>
    <w:lvl w:ilvl="0" w:tentative="0">
      <w:start w:val="3"/>
      <w:numFmt w:val="decimal"/>
      <w:lvlText w:val="%1."/>
      <w:lvlJc w:val="left"/>
      <w:pPr>
        <w:tabs>
          <w:tab w:val="left" w:pos="312"/>
        </w:tabs>
      </w:pPr>
    </w:lvl>
  </w:abstractNum>
  <w:abstractNum w:abstractNumId="1">
    <w:nsid w:val="59B4CCD7"/>
    <w:multiLevelType w:val="singleLevel"/>
    <w:tmpl w:val="59B4CCD7"/>
    <w:lvl w:ilvl="0" w:tentative="0">
      <w:start w:val="1"/>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0530513"/>
    <w:rsid w:val="10530513"/>
    <w:rsid w:val="23A267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 w:type="paragraph" w:styleId="4">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Office_11.1.0.11294_F1E327BC-269C-435d-A152-05C5408002CA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2022-02-18T04:50:00Z</dcterms:created>
  <dc:creator>棒棒、餹</dc:creator>
  <cp:lastModifiedBy>棒棒、餹</cp:lastModifiedBy>
  <dcterms:modified xsi:type="dcterms:W3CDTF">2022-02-18T07:03:03Z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F4756495770B4C47AFA189D2DBDCC395</vt:lpwstr>
  </property>
</Properties>
</file>