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sz w:val="28"/>
          <w:szCs w:val="28"/>
        </w:rPr>
      </w:pPr>
      <w:bookmarkStart w:id="0" w:name="_GoBack"/>
      <w:r>
        <w:rPr>
          <w:rFonts w:hint="eastAsia" w:ascii="宋体" w:hAnsi="宋体" w:eastAsia="宋体"/>
          <w:b/>
          <w:sz w:val="28"/>
          <w:szCs w:val="28"/>
        </w:rPr>
        <w:t>教科版二年级科学下册《课程纲要》</w:t>
      </w:r>
    </w:p>
    <w:bookmarkEnd w:id="0"/>
    <w:p>
      <w:pPr>
        <w:rPr>
          <w:rFonts w:ascii="宋体" w:hAnsi="宋体" w:eastAsia="宋体"/>
          <w:b/>
          <w:szCs w:val="21"/>
        </w:rPr>
      </w:pPr>
      <w:r>
        <w:rPr>
          <w:rFonts w:hint="eastAsia" w:ascii="宋体" w:hAnsi="宋体" w:eastAsia="宋体"/>
          <w:b/>
          <w:szCs w:val="21"/>
        </w:rPr>
        <w:t>课程名称：</w:t>
      </w:r>
      <w:r>
        <w:rPr>
          <w:rFonts w:hint="eastAsia" w:ascii="宋体" w:hAnsi="宋体" w:eastAsia="宋体"/>
          <w:bCs/>
          <w:szCs w:val="21"/>
        </w:rPr>
        <w:t xml:space="preserve">科学     </w:t>
      </w:r>
      <w:r>
        <w:rPr>
          <w:rFonts w:hint="eastAsia" w:ascii="宋体" w:hAnsi="宋体" w:eastAsia="宋体"/>
          <w:b/>
          <w:szCs w:val="21"/>
        </w:rPr>
        <w:t xml:space="preserve">         </w:t>
      </w:r>
    </w:p>
    <w:p>
      <w:pPr>
        <w:rPr>
          <w:rFonts w:ascii="宋体" w:hAnsi="宋体" w:eastAsia="宋体"/>
          <w:b/>
          <w:szCs w:val="21"/>
        </w:rPr>
      </w:pPr>
      <w:r>
        <w:rPr>
          <w:rFonts w:hint="eastAsia" w:ascii="宋体" w:hAnsi="宋体" w:eastAsia="宋体"/>
          <w:b/>
          <w:szCs w:val="21"/>
        </w:rPr>
        <w:t>课程类型：</w:t>
      </w:r>
      <w:r>
        <w:rPr>
          <w:rFonts w:hint="eastAsia" w:ascii="宋体" w:hAnsi="宋体" w:eastAsia="宋体"/>
          <w:bCs/>
          <w:szCs w:val="21"/>
        </w:rPr>
        <w:t>必修</w:t>
      </w:r>
      <w:r>
        <w:rPr>
          <w:rFonts w:hint="eastAsia" w:ascii="宋体" w:hAnsi="宋体" w:eastAsia="宋体"/>
          <w:b/>
          <w:szCs w:val="21"/>
        </w:rPr>
        <w:t xml:space="preserve">                </w:t>
      </w:r>
    </w:p>
    <w:p>
      <w:pPr>
        <w:rPr>
          <w:rFonts w:ascii="宋体" w:hAnsi="宋体" w:eastAsia="宋体"/>
          <w:bCs/>
          <w:szCs w:val="21"/>
        </w:rPr>
      </w:pPr>
      <w:r>
        <w:rPr>
          <w:rFonts w:hint="eastAsia" w:ascii="宋体" w:hAnsi="宋体" w:eastAsia="宋体"/>
          <w:b/>
          <w:szCs w:val="21"/>
        </w:rPr>
        <w:t>教材来源：</w:t>
      </w:r>
      <w:r>
        <w:rPr>
          <w:rFonts w:hint="eastAsia" w:ascii="宋体" w:hAnsi="宋体" w:eastAsia="宋体"/>
          <w:bCs/>
          <w:szCs w:val="21"/>
        </w:rPr>
        <w:t>教育科学出版社</w:t>
      </w:r>
      <w:r>
        <w:rPr>
          <w:rFonts w:ascii="宋体" w:hAnsi="宋体" w:eastAsia="宋体"/>
          <w:bCs/>
          <w:szCs w:val="21"/>
        </w:rPr>
        <w:t xml:space="preserve"> </w:t>
      </w:r>
    </w:p>
    <w:p>
      <w:pPr>
        <w:rPr>
          <w:rFonts w:ascii="宋体" w:hAnsi="宋体" w:eastAsia="宋体"/>
          <w:b/>
          <w:szCs w:val="21"/>
        </w:rPr>
      </w:pPr>
      <w:r>
        <w:rPr>
          <w:rFonts w:hint="eastAsia" w:ascii="宋体" w:hAnsi="宋体" w:eastAsia="宋体"/>
          <w:b/>
          <w:szCs w:val="21"/>
        </w:rPr>
        <w:t>授课时间：</w:t>
      </w:r>
      <w:r>
        <w:rPr>
          <w:rFonts w:hint="eastAsia" w:ascii="宋体" w:hAnsi="宋体" w:eastAsia="宋体"/>
          <w:bCs/>
          <w:szCs w:val="21"/>
        </w:rPr>
        <w:t xml:space="preserve">28课时      </w:t>
      </w:r>
      <w:r>
        <w:rPr>
          <w:rFonts w:hint="eastAsia" w:ascii="宋体" w:hAnsi="宋体" w:eastAsia="宋体"/>
          <w:b/>
          <w:szCs w:val="21"/>
        </w:rPr>
        <w:t xml:space="preserve">             </w:t>
      </w:r>
    </w:p>
    <w:p>
      <w:pPr>
        <w:rPr>
          <w:rFonts w:ascii="宋体" w:hAnsi="宋体" w:eastAsia="宋体"/>
          <w:bCs/>
          <w:szCs w:val="21"/>
        </w:rPr>
      </w:pPr>
      <w:r>
        <w:rPr>
          <w:rFonts w:hint="eastAsia" w:ascii="宋体" w:hAnsi="宋体" w:eastAsia="宋体"/>
          <w:b/>
          <w:szCs w:val="21"/>
        </w:rPr>
        <w:t>设 计 者：</w:t>
      </w:r>
      <w:r>
        <w:rPr>
          <w:rFonts w:hint="eastAsia" w:ascii="宋体" w:hAnsi="宋体" w:eastAsia="宋体"/>
          <w:bCs/>
          <w:szCs w:val="21"/>
        </w:rPr>
        <w:t>科学二年级备课组</w:t>
      </w:r>
    </w:p>
    <w:p>
      <w:pPr>
        <w:shd w:val="clear" w:color="auto" w:fill="FFFFFF"/>
        <w:rPr>
          <w:rFonts w:ascii="宋体" w:hAnsi="宋体" w:eastAsia="宋体"/>
          <w:b/>
          <w:sz w:val="24"/>
        </w:rPr>
      </w:pPr>
      <w:r>
        <w:rPr>
          <w:rFonts w:hint="eastAsia" w:ascii="宋体" w:hAnsi="宋体" w:eastAsia="宋体"/>
          <w:b/>
          <w:sz w:val="24"/>
        </w:rPr>
        <w:t>【</w:t>
      </w:r>
      <w:r>
        <w:rPr>
          <w:rFonts w:hint="eastAsia" w:ascii="宋体" w:hAnsi="宋体" w:eastAsia="宋体" w:cs="宋体"/>
          <w:b/>
          <w:color w:val="000000"/>
          <w:sz w:val="24"/>
        </w:rPr>
        <w:t>背景</w:t>
      </w:r>
      <w:r>
        <w:rPr>
          <w:rFonts w:hint="eastAsia" w:ascii="宋体" w:hAnsi="宋体" w:eastAsia="宋体"/>
          <w:b/>
          <w:sz w:val="24"/>
        </w:rPr>
        <w:t>】</w:t>
      </w:r>
    </w:p>
    <w:p>
      <w:pPr>
        <w:shd w:val="clear" w:color="auto" w:fill="FFFFFF"/>
        <w:ind w:firstLine="480" w:firstLineChars="200"/>
        <w:rPr>
          <w:rFonts w:ascii="宋体" w:hAnsi="宋体" w:eastAsia="宋体"/>
          <w:bCs/>
          <w:sz w:val="24"/>
        </w:rPr>
      </w:pPr>
      <w:r>
        <w:rPr>
          <w:rFonts w:ascii="宋体" w:hAnsi="宋体" w:eastAsia="宋体"/>
          <w:bCs/>
          <w:sz w:val="24"/>
        </w:rPr>
        <w:t>小学二年级下册科学教学计划学生情况分析学生经过一年半的正规学习，已经基本认识了科学这门学科，大多数学生对科学这门学科产生了比较浓厚的兴趣，知道在科学课上认真听讲，能够和同伴合作进行实验操作，掌握了科学教材的一些基本知识，如土壤、天气、月相、季节、材料、书、纸等方面的知识。具备了一定的动手能力。不过，仍有少部分同学上课不能安静的听老师讲课，也不喜欢和同伴合作交流，学习态度不端正，因此科学的基本知识和基本能力掌握都不太理想。在本学期的教学中，教师要对这部分同学加强引导，端正其科学学习的态度，力争使同学们都达到科学学习的基本要求。教材分析小学二年级下册科学是最新修订的科教版教材，包括两个单元，共分为13课。因为是新教材，所以在本册教材中融合了以前科学学习的一部分知识，如推力和拉力的知识，另外在修订思路上面也有所改变，本册教材覆盖了新课标的相关要求，理顺了内容的逻辑关系，并且基于二年级学生水平，减少了知识容量，降低了学习要求，并且还设计了一些有料、有趣的活动，进一步提高学生学习科学、参与课堂、动手实践的兴趣。第一单元为《磁铁》单元。包括七课内容，分别为《磁铁能吸引什么》《磁铁怎样吸引物体》《磁铁的两极》《磁极与方向》《做一个指南针》《磁极间的相互作用》《磁铁和我们的生活》。本单元从磁性、磁极两个方面出发，针对学生的年龄特点，编排结构化的教学内容，组织学生调用过去的零散生活经验，在动手实践和思考中形成对磁铁较为全面的认识，指导学生将学习与应用有机结合起来，了解磁铁能吸引哪些物体，磁铁各部分磁力的强弱，磁铁的两极，两极的相互作用等知识，并在观察磁铁现象的基础上引导学生自制简易的指南针。第二单元主题为《我们自己》。包括六课内容，分别为《观察我们的身体》《通过感官来发现》《观察与比较》《测试反应快慢》《发现生长》《身体的“时间胶囊”》。本单元是引导学生把眼光从外部世界转移到自己的身体上，让学生了解自己身体，知道我们的身体是由共同的外部结构和许多内部结构构成的。眼、耳、鼻、舌、皮肤是我们的感觉器官，具有学习的功能。学生通过观察自己的身体发现自己在生长变化。在本单元的学习中，主要是引导学生运用各种方法亲自了解自己的身体，从而引发学生对自己身体的兴趣，引导学生能够关注自己未来身体的生长，认同健康生活。</w:t>
      </w:r>
    </w:p>
    <w:p>
      <w:pPr>
        <w:shd w:val="clear" w:color="auto" w:fill="FFFFFF"/>
        <w:rPr>
          <w:rFonts w:ascii="宋体" w:hAnsi="宋体" w:eastAsia="宋体"/>
          <w:b/>
          <w:sz w:val="24"/>
        </w:rPr>
      </w:pPr>
      <w:r>
        <w:rPr>
          <w:rFonts w:hint="eastAsia" w:ascii="宋体" w:hAnsi="宋体" w:eastAsia="宋体"/>
          <w:b/>
          <w:sz w:val="24"/>
        </w:rPr>
        <w:t>【目标】</w:t>
      </w:r>
    </w:p>
    <w:p>
      <w:pPr>
        <w:shd w:val="clear" w:color="auto" w:fill="FFFFFF"/>
        <w:ind w:firstLine="480" w:firstLineChars="200"/>
        <w:rPr>
          <w:rFonts w:ascii="宋体" w:hAnsi="宋体" w:eastAsia="宋体"/>
          <w:bCs/>
          <w:sz w:val="24"/>
        </w:rPr>
      </w:pPr>
      <w:r>
        <w:rPr>
          <w:rFonts w:ascii="宋体" w:hAnsi="宋体" w:eastAsia="宋体"/>
          <w:bCs/>
          <w:sz w:val="24"/>
        </w:rPr>
        <w:t>1、引导学生通过观察，了解磁铁的不同形状，知道磁铁能够吸引铁和镍，能够隔空隔物吸铁，知道磁力可以传递。</w:t>
      </w:r>
    </w:p>
    <w:p>
      <w:pPr>
        <w:shd w:val="clear" w:color="auto" w:fill="FFFFFF"/>
        <w:ind w:firstLine="480" w:firstLineChars="200"/>
        <w:rPr>
          <w:rFonts w:ascii="宋体" w:hAnsi="宋体" w:eastAsia="宋体"/>
          <w:bCs/>
          <w:sz w:val="24"/>
        </w:rPr>
      </w:pPr>
      <w:r>
        <w:rPr>
          <w:rFonts w:ascii="宋体" w:hAnsi="宋体" w:eastAsia="宋体"/>
          <w:bCs/>
          <w:sz w:val="24"/>
        </w:rPr>
        <w:t>2、指导学生通过动手实践明白磁极的吸力最大，知道磁铁能够指示南北，有同极相斥，异极相吸的特性。</w:t>
      </w:r>
    </w:p>
    <w:p>
      <w:pPr>
        <w:shd w:val="clear" w:color="auto" w:fill="FFFFFF"/>
        <w:ind w:firstLine="480" w:firstLineChars="200"/>
        <w:rPr>
          <w:rFonts w:ascii="宋体" w:hAnsi="宋体" w:eastAsia="宋体"/>
          <w:bCs/>
          <w:sz w:val="24"/>
        </w:rPr>
      </w:pPr>
      <w:r>
        <w:rPr>
          <w:rFonts w:ascii="宋体" w:hAnsi="宋体" w:eastAsia="宋体"/>
          <w:bCs/>
          <w:sz w:val="24"/>
        </w:rPr>
        <w:t>3、引导学生通过做一个指南针的活动，进一步了解指南针的有关知识，体会</w:t>
      </w:r>
    </w:p>
    <w:p>
      <w:pPr>
        <w:shd w:val="clear" w:color="auto" w:fill="FFFFFF"/>
        <w:rPr>
          <w:rFonts w:ascii="宋体" w:hAnsi="宋体" w:eastAsia="宋体"/>
          <w:bCs/>
          <w:sz w:val="24"/>
        </w:rPr>
      </w:pPr>
      <w:r>
        <w:rPr>
          <w:rFonts w:ascii="宋体" w:hAnsi="宋体" w:eastAsia="宋体"/>
          <w:bCs/>
          <w:sz w:val="24"/>
        </w:rPr>
        <w:t>磁铁的磁化现象及磁铁指示南北的特性。</w:t>
      </w:r>
    </w:p>
    <w:p>
      <w:pPr>
        <w:shd w:val="clear" w:color="auto" w:fill="FFFFFF"/>
        <w:ind w:firstLine="480" w:firstLineChars="200"/>
        <w:rPr>
          <w:rFonts w:ascii="宋体" w:hAnsi="宋体" w:eastAsia="宋体"/>
          <w:bCs/>
          <w:sz w:val="24"/>
        </w:rPr>
      </w:pPr>
      <w:r>
        <w:rPr>
          <w:rFonts w:ascii="宋体" w:hAnsi="宋体" w:eastAsia="宋体"/>
          <w:bCs/>
          <w:sz w:val="24"/>
        </w:rPr>
        <w:t>4、引导学生了解磁铁在生产、生活中的广泛应用，进一步体会科技给人们生</w:t>
      </w:r>
    </w:p>
    <w:p>
      <w:pPr>
        <w:shd w:val="clear" w:color="auto" w:fill="FFFFFF"/>
        <w:rPr>
          <w:rFonts w:ascii="宋体" w:hAnsi="宋体" w:eastAsia="宋体"/>
          <w:bCs/>
          <w:sz w:val="24"/>
        </w:rPr>
      </w:pPr>
      <w:r>
        <w:rPr>
          <w:rFonts w:ascii="宋体" w:hAnsi="宋体" w:eastAsia="宋体"/>
          <w:bCs/>
          <w:sz w:val="24"/>
        </w:rPr>
        <w:t>活带来的便利和快捷，从而引导学生进一步探索科学、运用科学的兴趣。</w:t>
      </w:r>
    </w:p>
    <w:p>
      <w:pPr>
        <w:shd w:val="clear" w:color="auto" w:fill="FFFFFF"/>
        <w:ind w:firstLine="480" w:firstLineChars="200"/>
        <w:rPr>
          <w:rFonts w:ascii="宋体" w:hAnsi="宋体" w:eastAsia="宋体"/>
          <w:bCs/>
          <w:sz w:val="24"/>
        </w:rPr>
      </w:pPr>
      <w:r>
        <w:rPr>
          <w:rFonts w:ascii="宋体" w:hAnsi="宋体" w:eastAsia="宋体"/>
          <w:bCs/>
          <w:sz w:val="24"/>
        </w:rPr>
        <w:t>5、引导学生能够从外部观察头、颈、躯干和四肢组成的身体的基本结构，能</w:t>
      </w:r>
    </w:p>
    <w:p>
      <w:pPr>
        <w:shd w:val="clear" w:color="auto" w:fill="FFFFFF"/>
        <w:rPr>
          <w:rFonts w:ascii="宋体" w:hAnsi="宋体" w:eastAsia="宋体"/>
          <w:bCs/>
          <w:sz w:val="24"/>
        </w:rPr>
      </w:pPr>
      <w:r>
        <w:rPr>
          <w:rFonts w:ascii="宋体" w:hAnsi="宋体" w:eastAsia="宋体"/>
          <w:bCs/>
          <w:sz w:val="24"/>
        </w:rPr>
        <w:t>够用摸、听等方法探知自己身体内部的情况。</w:t>
      </w:r>
    </w:p>
    <w:p>
      <w:pPr>
        <w:shd w:val="clear" w:color="auto" w:fill="FFFFFF"/>
        <w:ind w:firstLine="480" w:firstLineChars="200"/>
        <w:rPr>
          <w:rFonts w:ascii="宋体" w:hAnsi="宋体" w:eastAsia="宋体"/>
          <w:bCs/>
          <w:sz w:val="24"/>
        </w:rPr>
      </w:pPr>
      <w:r>
        <w:rPr>
          <w:rFonts w:ascii="宋体" w:hAnsi="宋体" w:eastAsia="宋体"/>
          <w:bCs/>
          <w:sz w:val="24"/>
        </w:rPr>
        <w:t>6、知道通过感觉器官能够获取事物的相同与不同特征，用比较的方法识别不同的事物，认识到感觉器官能让我们观察到具体的事物，并以此区分事实与想象。</w:t>
      </w:r>
    </w:p>
    <w:p>
      <w:pPr>
        <w:shd w:val="clear" w:color="auto" w:fill="FFFFFF"/>
        <w:ind w:firstLine="480" w:firstLineChars="200"/>
        <w:rPr>
          <w:rFonts w:ascii="宋体" w:hAnsi="宋体" w:eastAsia="宋体"/>
          <w:bCs/>
          <w:sz w:val="24"/>
        </w:rPr>
      </w:pPr>
      <w:r>
        <w:rPr>
          <w:rFonts w:ascii="宋体" w:hAnsi="宋体" w:eastAsia="宋体"/>
          <w:bCs/>
          <w:sz w:val="24"/>
        </w:rPr>
        <w:t>7、了解感觉器官的综合运用，能够更加全面的认识事物和作出反应。</w:t>
      </w:r>
    </w:p>
    <w:p>
      <w:pPr>
        <w:shd w:val="clear" w:color="auto" w:fill="FFFFFF"/>
        <w:ind w:firstLine="480" w:firstLineChars="200"/>
        <w:rPr>
          <w:rFonts w:ascii="宋体" w:hAnsi="宋体" w:eastAsia="宋体"/>
          <w:b/>
          <w:sz w:val="24"/>
        </w:rPr>
      </w:pPr>
      <w:r>
        <w:rPr>
          <w:rFonts w:ascii="宋体" w:hAnsi="宋体" w:eastAsia="宋体"/>
          <w:bCs/>
          <w:sz w:val="24"/>
        </w:rPr>
        <w:t>8、通过比较测量，引导学生知道自己身体在生长变化，从而能够关注自己未来身体的生长，认同健康生活。</w:t>
      </w:r>
    </w:p>
    <w:p>
      <w:pPr>
        <w:shd w:val="clear" w:color="auto" w:fill="FFFFFF"/>
        <w:rPr>
          <w:rFonts w:ascii="宋体" w:hAnsi="宋体" w:eastAsia="宋体"/>
          <w:b/>
          <w:sz w:val="24"/>
        </w:rPr>
      </w:pPr>
      <w:r>
        <w:rPr>
          <w:rFonts w:hint="eastAsia" w:ascii="宋体" w:hAnsi="宋体" w:eastAsia="宋体"/>
          <w:b/>
          <w:sz w:val="24"/>
        </w:rPr>
        <w:t>【内容】</w:t>
      </w:r>
    </w:p>
    <w:tbl>
      <w:tblPr>
        <w:tblStyle w:val="4"/>
        <w:tblW w:w="78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4"/>
        <w:gridCol w:w="3043"/>
        <w:gridCol w:w="3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54" w:type="dxa"/>
            <w:vAlign w:val="bottom"/>
          </w:tcPr>
          <w:p>
            <w:pPr>
              <w:widowControl/>
              <w:jc w:val="center"/>
              <w:textAlignment w:val="bottom"/>
              <w:rPr>
                <w:rFonts w:ascii="宋体" w:hAnsi="宋体" w:eastAsia="宋体"/>
                <w:bCs/>
                <w:sz w:val="24"/>
              </w:rPr>
            </w:pPr>
            <w:r>
              <w:rPr>
                <w:rFonts w:hint="eastAsia" w:ascii="宋体" w:hAnsi="宋体" w:eastAsia="宋体" w:cs="宋体"/>
                <w:b/>
                <w:bCs/>
                <w:color w:val="000000"/>
                <w:sz w:val="28"/>
                <w:szCs w:val="28"/>
                <w:lang w:bidi="ar"/>
              </w:rPr>
              <w:t>周次</w:t>
            </w:r>
          </w:p>
        </w:tc>
        <w:tc>
          <w:tcPr>
            <w:tcW w:w="3043" w:type="dxa"/>
            <w:vAlign w:val="bottom"/>
          </w:tcPr>
          <w:p>
            <w:pPr>
              <w:widowControl/>
              <w:jc w:val="center"/>
              <w:textAlignment w:val="bottom"/>
              <w:rPr>
                <w:rFonts w:ascii="宋体" w:hAnsi="宋体" w:eastAsia="宋体"/>
                <w:bCs/>
                <w:sz w:val="24"/>
              </w:rPr>
            </w:pPr>
            <w:r>
              <w:rPr>
                <w:rFonts w:hint="eastAsia" w:ascii="宋体" w:hAnsi="宋体" w:eastAsia="宋体" w:cs="宋体"/>
                <w:b/>
                <w:bCs/>
                <w:color w:val="000000"/>
                <w:sz w:val="28"/>
                <w:szCs w:val="28"/>
                <w:lang w:bidi="ar"/>
              </w:rPr>
              <w:t>时间</w:t>
            </w:r>
          </w:p>
        </w:tc>
        <w:tc>
          <w:tcPr>
            <w:tcW w:w="3161" w:type="dxa"/>
            <w:vAlign w:val="bottom"/>
          </w:tcPr>
          <w:p>
            <w:pPr>
              <w:widowControl/>
              <w:jc w:val="center"/>
              <w:textAlignment w:val="bottom"/>
              <w:rPr>
                <w:rFonts w:ascii="宋体" w:hAnsi="宋体" w:eastAsia="宋体"/>
                <w:bCs/>
                <w:sz w:val="24"/>
              </w:rPr>
            </w:pPr>
            <w:r>
              <w:rPr>
                <w:rFonts w:hint="eastAsia" w:ascii="宋体" w:hAnsi="宋体" w:eastAsia="宋体" w:cs="宋体"/>
                <w:b/>
                <w:bCs/>
                <w:color w:val="000000"/>
                <w:sz w:val="28"/>
                <w:szCs w:val="28"/>
                <w:lang w:bidi="ar"/>
              </w:rPr>
              <w:t>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54"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1</w:t>
            </w:r>
          </w:p>
        </w:tc>
        <w:tc>
          <w:tcPr>
            <w:tcW w:w="3043" w:type="dxa"/>
            <w:shd w:val="clear" w:color="auto" w:fill="auto"/>
          </w:tcPr>
          <w:p>
            <w:pPr>
              <w:widowControl w:val="0"/>
              <w:adjustRightInd/>
              <w:snapToGrid/>
              <w:spacing w:line="360" w:lineRule="auto"/>
              <w:jc w:val="center"/>
              <w:rPr>
                <w:rFonts w:ascii="宋体" w:hAnsi="宋体" w:eastAsia="宋体" w:cs="宋体"/>
                <w:kern w:val="2"/>
                <w:sz w:val="24"/>
                <w:szCs w:val="24"/>
                <w:lang w:bidi="ar"/>
              </w:rPr>
            </w:pPr>
            <w:r>
              <w:rPr>
                <w:rFonts w:hint="eastAsia" w:ascii="宋体" w:hAnsi="宋体" w:eastAsia="宋体" w:cs="宋体"/>
                <w:kern w:val="2"/>
                <w:sz w:val="24"/>
                <w:szCs w:val="24"/>
                <w:lang w:bidi="ar"/>
              </w:rPr>
              <w:t>2.17-2.21</w:t>
            </w:r>
          </w:p>
        </w:tc>
        <w:tc>
          <w:tcPr>
            <w:tcW w:w="3161"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磁铁能吸引什么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54"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2</w:t>
            </w:r>
          </w:p>
        </w:tc>
        <w:tc>
          <w:tcPr>
            <w:tcW w:w="3043" w:type="dxa"/>
            <w:shd w:val="clear" w:color="auto" w:fill="auto"/>
          </w:tcPr>
          <w:p>
            <w:pPr>
              <w:widowControl w:val="0"/>
              <w:adjustRightInd/>
              <w:snapToGrid/>
              <w:spacing w:line="360" w:lineRule="auto"/>
              <w:jc w:val="center"/>
              <w:rPr>
                <w:rFonts w:ascii="宋体" w:hAnsi="宋体" w:eastAsia="宋体" w:cs="宋体"/>
                <w:kern w:val="2"/>
                <w:sz w:val="24"/>
                <w:szCs w:val="24"/>
                <w:lang w:bidi="ar"/>
              </w:rPr>
            </w:pPr>
            <w:r>
              <w:rPr>
                <w:rFonts w:hint="eastAsia" w:ascii="宋体" w:hAnsi="宋体" w:eastAsia="宋体" w:cs="宋体"/>
                <w:kern w:val="2"/>
                <w:sz w:val="24"/>
                <w:szCs w:val="24"/>
                <w:lang w:bidi="ar"/>
              </w:rPr>
              <w:t>2.24-2.28</w:t>
            </w:r>
          </w:p>
        </w:tc>
        <w:tc>
          <w:tcPr>
            <w:tcW w:w="3161"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磁铁怎样吸引物体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54"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3</w:t>
            </w:r>
          </w:p>
        </w:tc>
        <w:tc>
          <w:tcPr>
            <w:tcW w:w="3043" w:type="dxa"/>
            <w:shd w:val="clear" w:color="auto" w:fill="auto"/>
          </w:tcPr>
          <w:p>
            <w:pPr>
              <w:widowControl w:val="0"/>
              <w:adjustRightInd/>
              <w:snapToGrid/>
              <w:spacing w:line="360" w:lineRule="auto"/>
              <w:jc w:val="center"/>
              <w:rPr>
                <w:rFonts w:ascii="宋体" w:hAnsi="宋体" w:eastAsia="宋体" w:cs="宋体"/>
                <w:kern w:val="2"/>
                <w:sz w:val="24"/>
                <w:szCs w:val="24"/>
                <w:lang w:bidi="ar"/>
              </w:rPr>
            </w:pPr>
            <w:r>
              <w:rPr>
                <w:rFonts w:hint="eastAsia" w:ascii="宋体" w:hAnsi="宋体" w:eastAsia="宋体" w:cs="宋体"/>
                <w:kern w:val="2"/>
                <w:sz w:val="24"/>
                <w:szCs w:val="24"/>
                <w:lang w:bidi="ar"/>
              </w:rPr>
              <w:t>3.3-3.7</w:t>
            </w:r>
          </w:p>
        </w:tc>
        <w:tc>
          <w:tcPr>
            <w:tcW w:w="3161"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磁铁的两极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54"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4</w:t>
            </w:r>
          </w:p>
        </w:tc>
        <w:tc>
          <w:tcPr>
            <w:tcW w:w="3043" w:type="dxa"/>
            <w:shd w:val="clear" w:color="auto" w:fill="auto"/>
          </w:tcPr>
          <w:p>
            <w:pPr>
              <w:widowControl w:val="0"/>
              <w:adjustRightInd/>
              <w:snapToGrid/>
              <w:spacing w:line="360" w:lineRule="auto"/>
              <w:jc w:val="center"/>
              <w:rPr>
                <w:rFonts w:ascii="宋体" w:hAnsi="宋体" w:eastAsia="宋体" w:cs="宋体"/>
                <w:kern w:val="2"/>
                <w:sz w:val="24"/>
                <w:szCs w:val="24"/>
                <w:lang w:bidi="ar"/>
              </w:rPr>
            </w:pPr>
            <w:r>
              <w:rPr>
                <w:rFonts w:hint="eastAsia" w:ascii="宋体" w:hAnsi="宋体" w:eastAsia="宋体" w:cs="宋体"/>
                <w:kern w:val="2"/>
                <w:sz w:val="24"/>
                <w:szCs w:val="24"/>
                <w:lang w:bidi="ar"/>
              </w:rPr>
              <w:t>3.10-3.14</w:t>
            </w:r>
          </w:p>
        </w:tc>
        <w:tc>
          <w:tcPr>
            <w:tcW w:w="3161"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磁极与方向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54"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5</w:t>
            </w:r>
          </w:p>
        </w:tc>
        <w:tc>
          <w:tcPr>
            <w:tcW w:w="3043" w:type="dxa"/>
            <w:shd w:val="clear" w:color="auto" w:fill="auto"/>
          </w:tcPr>
          <w:p>
            <w:pPr>
              <w:widowControl w:val="0"/>
              <w:adjustRightInd/>
              <w:snapToGrid/>
              <w:spacing w:line="360" w:lineRule="auto"/>
              <w:jc w:val="center"/>
              <w:rPr>
                <w:rFonts w:ascii="宋体" w:hAnsi="宋体" w:eastAsia="宋体" w:cs="宋体"/>
                <w:kern w:val="2"/>
                <w:sz w:val="24"/>
                <w:szCs w:val="24"/>
                <w:lang w:bidi="ar"/>
              </w:rPr>
            </w:pPr>
            <w:r>
              <w:rPr>
                <w:rFonts w:hint="eastAsia" w:ascii="宋体" w:hAnsi="宋体" w:eastAsia="宋体" w:cs="宋体"/>
                <w:kern w:val="2"/>
                <w:sz w:val="24"/>
                <w:szCs w:val="24"/>
                <w:lang w:bidi="ar"/>
              </w:rPr>
              <w:t>3.17-3.21</w:t>
            </w:r>
          </w:p>
        </w:tc>
        <w:tc>
          <w:tcPr>
            <w:tcW w:w="3161"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做一个指南针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54"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6</w:t>
            </w:r>
          </w:p>
        </w:tc>
        <w:tc>
          <w:tcPr>
            <w:tcW w:w="3043" w:type="dxa"/>
            <w:shd w:val="clear" w:color="auto" w:fill="auto"/>
          </w:tcPr>
          <w:p>
            <w:pPr>
              <w:widowControl w:val="0"/>
              <w:adjustRightInd/>
              <w:snapToGrid/>
              <w:spacing w:line="360" w:lineRule="auto"/>
              <w:jc w:val="center"/>
              <w:rPr>
                <w:rFonts w:ascii="宋体" w:hAnsi="宋体" w:eastAsia="宋体" w:cs="宋体"/>
                <w:kern w:val="2"/>
                <w:sz w:val="24"/>
                <w:szCs w:val="24"/>
                <w:lang w:bidi="ar"/>
              </w:rPr>
            </w:pPr>
            <w:r>
              <w:rPr>
                <w:rFonts w:hint="eastAsia" w:ascii="宋体" w:hAnsi="宋体" w:eastAsia="宋体" w:cs="宋体"/>
                <w:kern w:val="2"/>
                <w:sz w:val="24"/>
                <w:szCs w:val="24"/>
                <w:lang w:bidi="ar"/>
              </w:rPr>
              <w:t>3.24-3.28</w:t>
            </w:r>
          </w:p>
        </w:tc>
        <w:tc>
          <w:tcPr>
            <w:tcW w:w="3161"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磁极间的相互作用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54"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7</w:t>
            </w:r>
          </w:p>
        </w:tc>
        <w:tc>
          <w:tcPr>
            <w:tcW w:w="3043" w:type="dxa"/>
            <w:shd w:val="clear" w:color="auto" w:fill="auto"/>
          </w:tcPr>
          <w:p>
            <w:pPr>
              <w:widowControl w:val="0"/>
              <w:adjustRightInd/>
              <w:snapToGrid/>
              <w:spacing w:line="360" w:lineRule="auto"/>
              <w:jc w:val="center"/>
              <w:rPr>
                <w:rFonts w:ascii="宋体" w:hAnsi="宋体" w:eastAsia="宋体" w:cs="宋体"/>
                <w:kern w:val="2"/>
                <w:sz w:val="24"/>
                <w:szCs w:val="24"/>
                <w:lang w:bidi="ar"/>
              </w:rPr>
            </w:pPr>
            <w:r>
              <w:rPr>
                <w:rFonts w:hint="eastAsia" w:ascii="宋体" w:hAnsi="宋体" w:eastAsia="宋体" w:cs="宋体"/>
                <w:kern w:val="2"/>
                <w:sz w:val="24"/>
                <w:szCs w:val="24"/>
                <w:lang w:bidi="ar"/>
              </w:rPr>
              <w:t>3.31-4.4</w:t>
            </w:r>
          </w:p>
        </w:tc>
        <w:tc>
          <w:tcPr>
            <w:tcW w:w="3161"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磁铁和我们的生活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54"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8</w:t>
            </w:r>
          </w:p>
        </w:tc>
        <w:tc>
          <w:tcPr>
            <w:tcW w:w="3043" w:type="dxa"/>
            <w:shd w:val="clear" w:color="auto" w:fill="auto"/>
          </w:tcPr>
          <w:p>
            <w:pPr>
              <w:widowControl w:val="0"/>
              <w:adjustRightInd/>
              <w:snapToGrid/>
              <w:spacing w:line="360" w:lineRule="auto"/>
              <w:jc w:val="center"/>
              <w:rPr>
                <w:rFonts w:ascii="宋体" w:hAnsi="宋体" w:eastAsia="宋体" w:cs="宋体"/>
                <w:kern w:val="2"/>
                <w:sz w:val="24"/>
                <w:szCs w:val="24"/>
                <w:lang w:bidi="ar"/>
              </w:rPr>
            </w:pPr>
            <w:r>
              <w:rPr>
                <w:rFonts w:hint="eastAsia" w:ascii="宋体" w:hAnsi="宋体" w:eastAsia="宋体" w:cs="宋体"/>
                <w:kern w:val="2"/>
                <w:sz w:val="24"/>
                <w:szCs w:val="24"/>
                <w:lang w:bidi="ar"/>
              </w:rPr>
              <w:t>4.7-4.11</w:t>
            </w:r>
          </w:p>
        </w:tc>
        <w:tc>
          <w:tcPr>
            <w:tcW w:w="3161"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第一单元知识梳理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54"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9</w:t>
            </w:r>
          </w:p>
        </w:tc>
        <w:tc>
          <w:tcPr>
            <w:tcW w:w="3043" w:type="dxa"/>
            <w:shd w:val="clear" w:color="auto" w:fill="auto"/>
          </w:tcPr>
          <w:p>
            <w:pPr>
              <w:widowControl w:val="0"/>
              <w:adjustRightInd/>
              <w:snapToGrid/>
              <w:spacing w:line="360" w:lineRule="auto"/>
              <w:jc w:val="center"/>
              <w:rPr>
                <w:rFonts w:ascii="宋体" w:hAnsi="宋体" w:eastAsia="宋体" w:cs="宋体"/>
                <w:kern w:val="2"/>
                <w:sz w:val="24"/>
                <w:szCs w:val="24"/>
                <w:lang w:bidi="ar"/>
              </w:rPr>
            </w:pPr>
            <w:r>
              <w:rPr>
                <w:rFonts w:hint="eastAsia" w:ascii="宋体" w:hAnsi="宋体" w:eastAsia="宋体" w:cs="宋体"/>
                <w:kern w:val="2"/>
                <w:sz w:val="24"/>
                <w:szCs w:val="24"/>
                <w:lang w:bidi="ar"/>
              </w:rPr>
              <w:t>4.14-4.18</w:t>
            </w:r>
          </w:p>
        </w:tc>
        <w:tc>
          <w:tcPr>
            <w:tcW w:w="3161"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第一单元闯关检测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54"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10</w:t>
            </w:r>
          </w:p>
        </w:tc>
        <w:tc>
          <w:tcPr>
            <w:tcW w:w="3043" w:type="dxa"/>
            <w:shd w:val="clear" w:color="auto" w:fill="auto"/>
          </w:tcPr>
          <w:p>
            <w:pPr>
              <w:widowControl w:val="0"/>
              <w:adjustRightInd/>
              <w:snapToGrid/>
              <w:spacing w:line="360" w:lineRule="auto"/>
              <w:jc w:val="center"/>
              <w:rPr>
                <w:rFonts w:ascii="宋体" w:hAnsi="宋体" w:eastAsia="宋体" w:cs="宋体"/>
                <w:kern w:val="2"/>
                <w:sz w:val="24"/>
                <w:szCs w:val="24"/>
                <w:lang w:bidi="ar"/>
              </w:rPr>
            </w:pPr>
            <w:r>
              <w:rPr>
                <w:rFonts w:hint="eastAsia" w:ascii="宋体" w:hAnsi="宋体" w:eastAsia="宋体" w:cs="宋体"/>
                <w:kern w:val="2"/>
                <w:sz w:val="24"/>
                <w:szCs w:val="24"/>
                <w:lang w:bidi="ar"/>
              </w:rPr>
              <w:t>4.21-4.25</w:t>
            </w:r>
          </w:p>
        </w:tc>
        <w:tc>
          <w:tcPr>
            <w:tcW w:w="3161"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观察我们的身体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54"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11</w:t>
            </w:r>
          </w:p>
        </w:tc>
        <w:tc>
          <w:tcPr>
            <w:tcW w:w="3043" w:type="dxa"/>
            <w:shd w:val="clear" w:color="auto" w:fill="auto"/>
          </w:tcPr>
          <w:p>
            <w:pPr>
              <w:widowControl w:val="0"/>
              <w:adjustRightInd/>
              <w:snapToGrid/>
              <w:spacing w:line="360" w:lineRule="auto"/>
              <w:jc w:val="center"/>
              <w:rPr>
                <w:rFonts w:ascii="宋体" w:hAnsi="宋体" w:eastAsia="宋体" w:cs="宋体"/>
                <w:kern w:val="2"/>
                <w:sz w:val="24"/>
                <w:szCs w:val="24"/>
                <w:lang w:bidi="ar"/>
              </w:rPr>
            </w:pPr>
            <w:r>
              <w:rPr>
                <w:rFonts w:hint="eastAsia" w:ascii="宋体" w:hAnsi="宋体" w:eastAsia="宋体" w:cs="宋体"/>
                <w:kern w:val="2"/>
                <w:sz w:val="24"/>
                <w:szCs w:val="24"/>
                <w:lang w:bidi="ar"/>
              </w:rPr>
              <w:t>4.28-4.30</w:t>
            </w:r>
          </w:p>
        </w:tc>
        <w:tc>
          <w:tcPr>
            <w:tcW w:w="3161"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通过感官来发现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54"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12</w:t>
            </w:r>
          </w:p>
        </w:tc>
        <w:tc>
          <w:tcPr>
            <w:tcW w:w="3043" w:type="dxa"/>
            <w:shd w:val="clear" w:color="auto" w:fill="auto"/>
          </w:tcPr>
          <w:p>
            <w:pPr>
              <w:widowControl w:val="0"/>
              <w:adjustRightInd/>
              <w:snapToGrid/>
              <w:spacing w:line="360" w:lineRule="auto"/>
              <w:jc w:val="center"/>
              <w:rPr>
                <w:rFonts w:ascii="宋体" w:hAnsi="宋体" w:eastAsia="宋体" w:cs="宋体"/>
                <w:kern w:val="2"/>
                <w:sz w:val="24"/>
                <w:szCs w:val="24"/>
                <w:lang w:bidi="ar"/>
              </w:rPr>
            </w:pPr>
            <w:r>
              <w:rPr>
                <w:rFonts w:hint="eastAsia" w:ascii="宋体" w:hAnsi="宋体" w:eastAsia="宋体" w:cs="宋体"/>
                <w:kern w:val="2"/>
                <w:sz w:val="24"/>
                <w:szCs w:val="24"/>
                <w:lang w:bidi="ar"/>
              </w:rPr>
              <w:t>5.6-5.9</w:t>
            </w:r>
          </w:p>
        </w:tc>
        <w:tc>
          <w:tcPr>
            <w:tcW w:w="3161"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观察与比较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54"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13</w:t>
            </w:r>
          </w:p>
        </w:tc>
        <w:tc>
          <w:tcPr>
            <w:tcW w:w="3043" w:type="dxa"/>
            <w:shd w:val="clear" w:color="auto" w:fill="auto"/>
          </w:tcPr>
          <w:p>
            <w:pPr>
              <w:widowControl w:val="0"/>
              <w:adjustRightInd/>
              <w:snapToGrid/>
              <w:spacing w:line="360" w:lineRule="auto"/>
              <w:jc w:val="center"/>
              <w:rPr>
                <w:rFonts w:ascii="宋体" w:hAnsi="宋体" w:eastAsia="宋体" w:cs="宋体"/>
                <w:kern w:val="2"/>
                <w:sz w:val="24"/>
                <w:szCs w:val="24"/>
                <w:lang w:bidi="ar"/>
              </w:rPr>
            </w:pPr>
            <w:r>
              <w:rPr>
                <w:rFonts w:hint="eastAsia" w:ascii="宋体" w:hAnsi="宋体" w:eastAsia="宋体" w:cs="宋体"/>
                <w:kern w:val="2"/>
                <w:sz w:val="24"/>
                <w:szCs w:val="24"/>
                <w:lang w:bidi="ar"/>
              </w:rPr>
              <w:t>5.12-5.16</w:t>
            </w:r>
          </w:p>
        </w:tc>
        <w:tc>
          <w:tcPr>
            <w:tcW w:w="3161"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测试反应快慢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54"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14</w:t>
            </w:r>
          </w:p>
        </w:tc>
        <w:tc>
          <w:tcPr>
            <w:tcW w:w="3043" w:type="dxa"/>
            <w:shd w:val="clear" w:color="auto" w:fill="auto"/>
          </w:tcPr>
          <w:p>
            <w:pPr>
              <w:widowControl w:val="0"/>
              <w:adjustRightInd/>
              <w:snapToGrid/>
              <w:spacing w:line="360" w:lineRule="auto"/>
              <w:jc w:val="center"/>
              <w:rPr>
                <w:rFonts w:ascii="宋体" w:hAnsi="宋体" w:eastAsia="宋体" w:cs="宋体"/>
                <w:kern w:val="2"/>
                <w:sz w:val="24"/>
                <w:szCs w:val="24"/>
                <w:lang w:bidi="ar"/>
              </w:rPr>
            </w:pPr>
            <w:r>
              <w:rPr>
                <w:rFonts w:hint="eastAsia" w:ascii="宋体" w:hAnsi="宋体" w:eastAsia="宋体" w:cs="宋体"/>
                <w:kern w:val="2"/>
                <w:sz w:val="24"/>
                <w:szCs w:val="24"/>
                <w:lang w:bidi="ar"/>
              </w:rPr>
              <w:t>5.19-5.23</w:t>
            </w:r>
          </w:p>
        </w:tc>
        <w:tc>
          <w:tcPr>
            <w:tcW w:w="3161"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发现生长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54"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15</w:t>
            </w:r>
          </w:p>
        </w:tc>
        <w:tc>
          <w:tcPr>
            <w:tcW w:w="3043" w:type="dxa"/>
            <w:shd w:val="clear" w:color="auto" w:fill="auto"/>
          </w:tcPr>
          <w:p>
            <w:pPr>
              <w:widowControl w:val="0"/>
              <w:adjustRightInd/>
              <w:snapToGrid/>
              <w:spacing w:line="360" w:lineRule="auto"/>
              <w:jc w:val="center"/>
              <w:rPr>
                <w:rFonts w:ascii="宋体" w:hAnsi="宋体" w:eastAsia="宋体" w:cs="宋体"/>
                <w:kern w:val="2"/>
                <w:sz w:val="24"/>
                <w:szCs w:val="24"/>
                <w:lang w:bidi="ar"/>
              </w:rPr>
            </w:pPr>
            <w:r>
              <w:rPr>
                <w:rFonts w:hint="eastAsia" w:ascii="宋体" w:hAnsi="宋体" w:eastAsia="宋体" w:cs="宋体"/>
                <w:kern w:val="2"/>
                <w:sz w:val="24"/>
                <w:szCs w:val="24"/>
                <w:lang w:bidi="ar"/>
              </w:rPr>
              <w:t>5.26-5.30</w:t>
            </w:r>
          </w:p>
        </w:tc>
        <w:tc>
          <w:tcPr>
            <w:tcW w:w="3161"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身体的“时间胶囊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54"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16</w:t>
            </w:r>
          </w:p>
        </w:tc>
        <w:tc>
          <w:tcPr>
            <w:tcW w:w="3043" w:type="dxa"/>
            <w:shd w:val="clear" w:color="auto" w:fill="auto"/>
          </w:tcPr>
          <w:p>
            <w:pPr>
              <w:widowControl w:val="0"/>
              <w:adjustRightInd/>
              <w:snapToGrid/>
              <w:spacing w:line="360" w:lineRule="auto"/>
              <w:jc w:val="center"/>
              <w:rPr>
                <w:rFonts w:ascii="宋体" w:hAnsi="宋体" w:eastAsia="宋体" w:cs="宋体"/>
                <w:kern w:val="2"/>
                <w:sz w:val="24"/>
                <w:szCs w:val="24"/>
                <w:lang w:bidi="ar"/>
              </w:rPr>
            </w:pPr>
            <w:r>
              <w:rPr>
                <w:rFonts w:hint="eastAsia" w:ascii="宋体" w:hAnsi="宋体" w:eastAsia="宋体" w:cs="宋体"/>
                <w:kern w:val="2"/>
                <w:sz w:val="24"/>
                <w:szCs w:val="24"/>
                <w:lang w:bidi="ar"/>
              </w:rPr>
              <w:t>6.2-6.5</w:t>
            </w:r>
          </w:p>
        </w:tc>
        <w:tc>
          <w:tcPr>
            <w:tcW w:w="3161"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第二单元知识梳理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1654"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17</w:t>
            </w:r>
          </w:p>
        </w:tc>
        <w:tc>
          <w:tcPr>
            <w:tcW w:w="3043" w:type="dxa"/>
            <w:shd w:val="clear" w:color="auto" w:fill="auto"/>
          </w:tcPr>
          <w:p>
            <w:pPr>
              <w:widowControl w:val="0"/>
              <w:adjustRightInd/>
              <w:snapToGrid/>
              <w:spacing w:line="360" w:lineRule="auto"/>
              <w:jc w:val="center"/>
              <w:rPr>
                <w:rFonts w:ascii="宋体" w:hAnsi="宋体" w:eastAsia="宋体" w:cs="宋体"/>
                <w:kern w:val="2"/>
                <w:sz w:val="24"/>
                <w:szCs w:val="24"/>
                <w:lang w:bidi="ar"/>
              </w:rPr>
            </w:pPr>
            <w:r>
              <w:rPr>
                <w:rFonts w:hint="eastAsia" w:ascii="宋体" w:hAnsi="宋体" w:eastAsia="宋体" w:cs="宋体"/>
                <w:kern w:val="2"/>
                <w:sz w:val="24"/>
                <w:szCs w:val="24"/>
                <w:lang w:bidi="ar"/>
              </w:rPr>
              <w:t>6.9-6.13</w:t>
            </w:r>
          </w:p>
        </w:tc>
        <w:tc>
          <w:tcPr>
            <w:tcW w:w="3161"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第二单元闯关检测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654"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18</w:t>
            </w:r>
          </w:p>
        </w:tc>
        <w:tc>
          <w:tcPr>
            <w:tcW w:w="3043" w:type="dxa"/>
            <w:shd w:val="clear" w:color="auto" w:fill="auto"/>
          </w:tcPr>
          <w:p>
            <w:pPr>
              <w:widowControl w:val="0"/>
              <w:adjustRightInd/>
              <w:snapToGrid/>
              <w:spacing w:line="360" w:lineRule="auto"/>
              <w:jc w:val="center"/>
              <w:rPr>
                <w:rFonts w:ascii="宋体" w:hAnsi="宋体" w:eastAsia="宋体" w:cs="宋体"/>
                <w:kern w:val="2"/>
                <w:sz w:val="24"/>
                <w:szCs w:val="24"/>
                <w:lang w:bidi="ar"/>
              </w:rPr>
            </w:pPr>
            <w:r>
              <w:rPr>
                <w:rFonts w:hint="eastAsia" w:ascii="宋体" w:hAnsi="宋体" w:eastAsia="宋体" w:cs="宋体"/>
                <w:kern w:val="2"/>
                <w:sz w:val="24"/>
                <w:szCs w:val="24"/>
                <w:lang w:bidi="ar"/>
              </w:rPr>
              <w:t>6.16-6.20</w:t>
            </w:r>
          </w:p>
        </w:tc>
        <w:tc>
          <w:tcPr>
            <w:tcW w:w="3161"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总复习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654"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19</w:t>
            </w:r>
          </w:p>
        </w:tc>
        <w:tc>
          <w:tcPr>
            <w:tcW w:w="3043" w:type="dxa"/>
            <w:shd w:val="clear" w:color="auto" w:fill="auto"/>
          </w:tcPr>
          <w:p>
            <w:pPr>
              <w:widowControl w:val="0"/>
              <w:adjustRightInd/>
              <w:snapToGrid/>
              <w:spacing w:line="360" w:lineRule="auto"/>
              <w:jc w:val="center"/>
              <w:rPr>
                <w:rFonts w:ascii="宋体" w:hAnsi="宋体" w:eastAsia="宋体" w:cs="宋体"/>
                <w:kern w:val="2"/>
                <w:sz w:val="24"/>
                <w:szCs w:val="24"/>
                <w:lang w:bidi="ar"/>
              </w:rPr>
            </w:pPr>
            <w:r>
              <w:rPr>
                <w:rFonts w:hint="eastAsia" w:ascii="宋体" w:hAnsi="宋体" w:eastAsia="宋体" w:cs="宋体"/>
                <w:kern w:val="2"/>
                <w:sz w:val="24"/>
                <w:szCs w:val="24"/>
                <w:lang w:bidi="ar"/>
              </w:rPr>
              <w:t>6.23-6.27</w:t>
            </w:r>
          </w:p>
        </w:tc>
        <w:tc>
          <w:tcPr>
            <w:tcW w:w="3161" w:type="dxa"/>
            <w:vAlign w:val="bottom"/>
          </w:tcPr>
          <w:p>
            <w:pPr>
              <w:widowControl/>
              <w:jc w:val="center"/>
              <w:textAlignment w:val="bottom"/>
              <w:rPr>
                <w:rFonts w:ascii="宋体" w:hAnsi="宋体" w:eastAsia="宋体"/>
                <w:bCs/>
                <w:sz w:val="24"/>
              </w:rPr>
            </w:pPr>
            <w:r>
              <w:rPr>
                <w:rFonts w:hint="eastAsia" w:ascii="等线" w:hAnsi="等线" w:eastAsia="等线" w:cs="等线"/>
                <w:color w:val="000000"/>
                <w:lang w:bidi="ar"/>
              </w:rPr>
              <w:t>期末测试</w:t>
            </w:r>
          </w:p>
        </w:tc>
      </w:tr>
    </w:tbl>
    <w:p>
      <w:pPr>
        <w:rPr>
          <w:rFonts w:ascii="宋体" w:hAnsi="宋体" w:eastAsia="宋体"/>
          <w:b/>
          <w:sz w:val="24"/>
        </w:rPr>
      </w:pPr>
    </w:p>
    <w:p>
      <w:pPr>
        <w:rPr>
          <w:rFonts w:ascii="宋体" w:hAnsi="宋体" w:eastAsia="宋体"/>
          <w:b/>
          <w:sz w:val="24"/>
        </w:rPr>
      </w:pPr>
      <w:r>
        <w:rPr>
          <w:rFonts w:hint="eastAsia" w:ascii="宋体" w:hAnsi="宋体" w:eastAsia="宋体"/>
          <w:b/>
          <w:sz w:val="24"/>
        </w:rPr>
        <w:t>【实施】</w:t>
      </w:r>
    </w:p>
    <w:p>
      <w:pPr>
        <w:ind w:firstLine="480" w:firstLineChars="200"/>
        <w:rPr>
          <w:rFonts w:ascii="宋体" w:hAnsi="宋体" w:eastAsia="宋体"/>
          <w:bCs/>
          <w:sz w:val="24"/>
        </w:rPr>
      </w:pPr>
      <w:r>
        <w:rPr>
          <w:rFonts w:ascii="宋体" w:hAnsi="宋体" w:eastAsia="宋体"/>
          <w:bCs/>
          <w:sz w:val="24"/>
        </w:rPr>
        <w:t xml:space="preserve">1.培养学生科学学习的兴趣和良好习惯 </w:t>
      </w:r>
    </w:p>
    <w:p>
      <w:pPr>
        <w:rPr>
          <w:rFonts w:ascii="宋体" w:hAnsi="宋体" w:eastAsia="宋体"/>
          <w:bCs/>
          <w:sz w:val="24"/>
        </w:rPr>
      </w:pPr>
      <w:r>
        <w:rPr>
          <w:rFonts w:hint="eastAsia" w:ascii="宋体" w:hAnsi="宋体" w:eastAsia="宋体"/>
          <w:bCs/>
          <w:sz w:val="24"/>
        </w:rPr>
        <w:t>在教学中激发学生的兴趣，利用教材所提供的素材，组织学生开展多种多样的学习活动。教学时，时常关注学生参与学习活动的热情，多鼓励学生积极参与，允许学生用自己的语言表达想法。让每个学生喜欢上课、喜欢教师，进而喜欢学科学。良好学习习惯的养成，不能简单地理解为上课坐好、举手发言等外在的形式，更重要的是要逐步引导学生学会独立思考、敢于提问、认真倾听他人的意见、乐于表达自己的想法等内在品质。</w:t>
      </w:r>
    </w:p>
    <w:p>
      <w:pPr>
        <w:ind w:firstLine="480" w:firstLineChars="200"/>
        <w:rPr>
          <w:rFonts w:ascii="宋体" w:hAnsi="宋体" w:eastAsia="宋体"/>
          <w:bCs/>
          <w:sz w:val="24"/>
        </w:rPr>
      </w:pPr>
      <w:r>
        <w:rPr>
          <w:rFonts w:ascii="宋体" w:hAnsi="宋体" w:eastAsia="宋体"/>
          <w:bCs/>
          <w:sz w:val="24"/>
        </w:rPr>
        <w:t xml:space="preserve">2.让学生在生动具体的情境中学习科学 </w:t>
      </w:r>
    </w:p>
    <w:p>
      <w:pPr>
        <w:rPr>
          <w:rFonts w:ascii="宋体" w:hAnsi="宋体" w:eastAsia="宋体"/>
          <w:bCs/>
          <w:sz w:val="24"/>
        </w:rPr>
      </w:pPr>
      <w:r>
        <w:rPr>
          <w:rFonts w:hint="eastAsia" w:ascii="宋体" w:hAnsi="宋体" w:eastAsia="宋体"/>
          <w:bCs/>
          <w:sz w:val="24"/>
        </w:rPr>
        <w:t>教学中充分利用学生的生活经验，设计生动有趣、直观形象的探究活动，激发学生的学习兴趣，让学生在生动具体的情境中理解和认识科学知识，鼓励每一位学生动手、动口、动脑，参与科学的学习过程。</w:t>
      </w:r>
    </w:p>
    <w:p>
      <w:pPr>
        <w:ind w:firstLine="480" w:firstLineChars="200"/>
        <w:rPr>
          <w:rFonts w:ascii="宋体" w:hAnsi="宋体" w:eastAsia="宋体"/>
          <w:bCs/>
          <w:sz w:val="24"/>
        </w:rPr>
      </w:pPr>
      <w:r>
        <w:rPr>
          <w:rFonts w:ascii="宋体" w:hAnsi="宋体" w:eastAsia="宋体"/>
          <w:bCs/>
          <w:sz w:val="24"/>
        </w:rPr>
        <w:t xml:space="preserve">3.引导学生积极思考，并与同伴合作交流 </w:t>
      </w:r>
    </w:p>
    <w:p>
      <w:pPr>
        <w:rPr>
          <w:rFonts w:ascii="宋体" w:hAnsi="宋体" w:eastAsia="宋体"/>
          <w:bCs/>
          <w:sz w:val="24"/>
        </w:rPr>
      </w:pPr>
      <w:r>
        <w:rPr>
          <w:rFonts w:hint="eastAsia" w:ascii="宋体" w:hAnsi="宋体" w:eastAsia="宋体"/>
          <w:bCs/>
          <w:sz w:val="24"/>
        </w:rPr>
        <w:t>独立思考、合作交流是学生学习科学的重要方式。教学中要鼓励学生在具体活动中进行思考，鼓励学生发表自己的意见，并与同伴进行交流。在思考与交流的过程中，老师提供适当的帮助和指导，善于选择学生中有价值的问题或意见，引导学生开展讨论，寻找问题的答案。老师有意识地培养学生与人交流的愿望和习惯，使学生逐步学会运用适当的方式描述自己想法，学会注意倾听他人的意见。</w:t>
      </w:r>
    </w:p>
    <w:p>
      <w:pPr>
        <w:ind w:firstLine="480" w:firstLineChars="200"/>
        <w:rPr>
          <w:rFonts w:ascii="宋体" w:hAnsi="宋体" w:eastAsia="宋体"/>
          <w:bCs/>
          <w:sz w:val="24"/>
        </w:rPr>
      </w:pPr>
      <w:r>
        <w:rPr>
          <w:rFonts w:ascii="宋体" w:hAnsi="宋体" w:eastAsia="宋体"/>
          <w:bCs/>
          <w:sz w:val="24"/>
        </w:rPr>
        <w:t xml:space="preserve">4.培养学生初步提出问题和解决问题的能力 </w:t>
      </w:r>
    </w:p>
    <w:p>
      <w:pPr>
        <w:rPr>
          <w:rFonts w:ascii="宋体" w:hAnsi="宋体" w:eastAsia="宋体"/>
          <w:bCs/>
          <w:sz w:val="24"/>
        </w:rPr>
      </w:pPr>
      <w:r>
        <w:rPr>
          <w:rFonts w:hint="eastAsia" w:ascii="宋体" w:hAnsi="宋体" w:eastAsia="宋体"/>
          <w:bCs/>
          <w:sz w:val="24"/>
        </w:rPr>
        <w:t>教材特别注重培养学生提出问题的意识和能力，教学中，教师应该充分利用学生已有的知识经验</w:t>
      </w:r>
      <w:r>
        <w:rPr>
          <w:rFonts w:ascii="宋体" w:hAnsi="宋体" w:eastAsia="宋体"/>
          <w:bCs/>
          <w:sz w:val="24"/>
        </w:rPr>
        <w:t>,随时引导学生把所学的科学知识应用到生活中去，解决身边的科学问题，并尝试从日常生活中发现科学问题，了解科学在现实生活中的作用，体会学习科学的重要性。</w:t>
      </w:r>
    </w:p>
    <w:p>
      <w:pPr>
        <w:ind w:firstLine="480" w:firstLineChars="200"/>
        <w:rPr>
          <w:rFonts w:ascii="宋体" w:hAnsi="宋体" w:eastAsia="宋体"/>
          <w:bCs/>
          <w:sz w:val="24"/>
        </w:rPr>
      </w:pPr>
      <w:r>
        <w:rPr>
          <w:rFonts w:ascii="宋体" w:hAnsi="宋体" w:eastAsia="宋体"/>
          <w:bCs/>
          <w:sz w:val="24"/>
        </w:rPr>
        <w:t xml:space="preserve">5.创造性地使用科学教材，及时反思 </w:t>
      </w:r>
    </w:p>
    <w:p>
      <w:pPr>
        <w:rPr>
          <w:rFonts w:ascii="宋体" w:hAnsi="宋体" w:eastAsia="宋体"/>
          <w:bCs/>
          <w:sz w:val="24"/>
        </w:rPr>
      </w:pPr>
      <w:r>
        <w:rPr>
          <w:rFonts w:hint="eastAsia" w:ascii="宋体" w:hAnsi="宋体" w:eastAsia="宋体"/>
          <w:bCs/>
          <w:sz w:val="24"/>
        </w:rPr>
        <w:t>科学探究能力是整体性发展的</w:t>
      </w:r>
      <w:r>
        <w:rPr>
          <w:rFonts w:ascii="宋体" w:hAnsi="宋体" w:eastAsia="宋体"/>
          <w:bCs/>
          <w:sz w:val="24"/>
        </w:rPr>
        <w:t>,科学探究的各种类型在教学活动中应得到系统运用。教材只是提供了学生科学活动的平台，教学中，教师要根据学生的特点和实际情况，创造性地使用教材，设计教学活动。教师还应适时记录下自己的教学设计和教学反思，以不断改进自己的教学观念与教学方法。</w:t>
      </w:r>
    </w:p>
    <w:p>
      <w:pPr>
        <w:rPr>
          <w:rFonts w:ascii="宋体" w:hAnsi="宋体" w:eastAsia="宋体"/>
          <w:bCs/>
          <w:sz w:val="24"/>
        </w:rPr>
      </w:pPr>
    </w:p>
    <w:p>
      <w:pPr>
        <w:rPr>
          <w:rFonts w:ascii="宋体" w:hAnsi="宋体" w:eastAsia="宋体"/>
          <w:b/>
          <w:sz w:val="24"/>
        </w:rPr>
      </w:pPr>
      <w:r>
        <w:rPr>
          <w:rFonts w:hint="eastAsia" w:ascii="宋体" w:hAnsi="宋体" w:eastAsia="宋体"/>
          <w:b/>
          <w:sz w:val="24"/>
        </w:rPr>
        <w:t>【评价】</w:t>
      </w:r>
    </w:p>
    <w:p>
      <w:pPr>
        <w:ind w:firstLine="480" w:firstLineChars="200"/>
        <w:rPr>
          <w:rFonts w:ascii="宋体" w:hAnsi="宋体" w:eastAsia="宋体"/>
          <w:sz w:val="24"/>
        </w:rPr>
      </w:pPr>
      <w:r>
        <w:rPr>
          <w:rFonts w:hint="eastAsia" w:ascii="宋体" w:hAnsi="宋体" w:eastAsia="宋体"/>
          <w:sz w:val="24"/>
        </w:rPr>
        <w:t>本学期的成绩是等级，共分为很好达标、良好达标、基本达标、不达标。等级是由百分制转换而来的，80-100分为很好达标，70-79分为良好达标，60-69分为基本达标，60分以下为不达标。</w:t>
      </w:r>
    </w:p>
    <w:p>
      <w:pPr>
        <w:ind w:firstLine="480" w:firstLineChars="200"/>
        <w:rPr>
          <w:rFonts w:ascii="宋体" w:hAnsi="宋体" w:eastAsia="宋体"/>
          <w:sz w:val="24"/>
        </w:rPr>
      </w:pPr>
      <w:r>
        <w:rPr>
          <w:rFonts w:hint="eastAsia" w:ascii="宋体" w:hAnsi="宋体" w:eastAsia="宋体"/>
          <w:sz w:val="24"/>
        </w:rPr>
        <w:t>100分成绩来源分三个部分：过程性评价占10%，操作性评价占20%，总结性评价占70%。</w:t>
      </w:r>
    </w:p>
    <w:p>
      <w:pPr>
        <w:ind w:firstLine="480" w:firstLineChars="200"/>
        <w:rPr>
          <w:rFonts w:ascii="宋体" w:hAnsi="宋体" w:eastAsia="宋体"/>
          <w:sz w:val="24"/>
        </w:rPr>
      </w:pPr>
      <w:r>
        <w:rPr>
          <w:rFonts w:hint="eastAsia" w:ascii="宋体" w:hAnsi="宋体" w:eastAsia="宋体"/>
          <w:sz w:val="24"/>
        </w:rPr>
        <w:t>过程性评价包括：学生自评、学生互评、家长评价、教师评价。</w:t>
      </w:r>
    </w:p>
    <w:p>
      <w:pPr>
        <w:ind w:firstLine="480" w:firstLineChars="200"/>
        <w:rPr>
          <w:rFonts w:ascii="宋体" w:hAnsi="宋体" w:eastAsia="宋体"/>
          <w:sz w:val="24"/>
        </w:rPr>
      </w:pPr>
      <w:r>
        <w:rPr>
          <w:rFonts w:hint="eastAsia" w:ascii="宋体" w:hAnsi="宋体" w:eastAsia="宋体"/>
          <w:sz w:val="24"/>
        </w:rPr>
        <w:t>操作性评价是指：能独立完成结合本期学习内容的开放性试题。</w:t>
      </w:r>
    </w:p>
    <w:p>
      <w:pPr>
        <w:ind w:firstLine="480" w:firstLineChars="200"/>
        <w:rPr>
          <w:rFonts w:ascii="宋体" w:hAnsi="宋体" w:eastAsia="宋体"/>
          <w:sz w:val="24"/>
        </w:rPr>
      </w:pPr>
      <w:r>
        <w:rPr>
          <w:rFonts w:hint="eastAsia" w:ascii="宋体" w:hAnsi="宋体" w:eastAsia="宋体"/>
          <w:sz w:val="24"/>
        </w:rPr>
        <w:t>总结性评价是指：期末纸笔测试。</w:t>
      </w:r>
    </w:p>
    <w:p/>
    <w:p>
      <w:pPr>
        <w:pStyle w:val="2"/>
        <w:shd w:val="clear" w:color="auto" w:fill="FFFFFF"/>
        <w:spacing w:beforeAutospacing="0" w:afterAutospacing="0" w:line="360" w:lineRule="auto"/>
        <w:jc w:val="center"/>
        <w:rPr>
          <w:rFonts w:ascii="宋体" w:hAnsi="宋体" w:eastAsia="宋体" w:cs="宋体"/>
          <w:b/>
          <w:bCs/>
          <w:kern w:val="2"/>
          <w:sz w:val="28"/>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FD72B9"/>
    <w:rsid w:val="0DFD7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Times New Roman" w:cs="Times New Roman"/>
      <w:sz w:val="22"/>
      <w:szCs w:val="22"/>
      <w:lang w:val="en-US" w:eastAsia="zh-CN" w:bidi="ar-SA"/>
    </w:rPr>
  </w:style>
  <w:style w:type="character" w:default="1" w:styleId="5">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99"/>
    <w:pPr>
      <w:spacing w:beforeAutospacing="1" w:after="0" w:afterAutospacing="1"/>
    </w:pPr>
    <w:rPr>
      <w:sz w:val="24"/>
    </w:rPr>
  </w:style>
  <w:style w:type="table" w:styleId="4">
    <w:name w:val="Table Grid"/>
    <w:basedOn w:val="3"/>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2025-02-25T01:59:00Z</dcterms:created>
  <dc:creator>kejizu</dc:creator>
  <cp:lastModifiedBy>kejizu</cp:lastModifiedBy>
  <dcterms:modified xsi:type="dcterms:W3CDTF">2025-02-25T02:00:17Z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938C97EFFCA345A3960D1822D03A7E34</vt:lpwstr>
  </property>
</Properties>
</file>