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37AC25">
      <w:pPr>
        <w:spacing w:line="360" w:lineRule="auto"/>
        <w:jc w:val="center"/>
        <w:rPr>
          <w:rFonts w:hint="eastAsia" w:ascii="宋体" w:hAnsi="宋体" w:cs="黑体"/>
          <w:b/>
          <w:bCs/>
          <w:color w:val="000000"/>
          <w:sz w:val="32"/>
          <w:szCs w:val="32"/>
        </w:rPr>
      </w:pPr>
      <w:r>
        <w:rPr>
          <w:rFonts w:hint="eastAsia" w:ascii="宋体" w:hAnsi="宋体" w:cs="黑体"/>
          <w:b/>
          <w:bCs/>
          <w:color w:val="000000"/>
          <w:sz w:val="32"/>
          <w:szCs w:val="32"/>
        </w:rPr>
        <w:t>人音版</w:t>
      </w:r>
      <w:r>
        <w:rPr>
          <w:rFonts w:hint="eastAsia" w:ascii="宋体" w:hAnsi="宋体" w:cs="黑体"/>
          <w:b/>
          <w:bCs/>
          <w:color w:val="000000"/>
          <w:sz w:val="32"/>
          <w:szCs w:val="32"/>
          <w:lang w:val="en-US" w:eastAsia="zh-CN"/>
        </w:rPr>
        <w:t>二</w:t>
      </w:r>
      <w:r>
        <w:rPr>
          <w:rFonts w:hint="eastAsia" w:ascii="宋体" w:hAnsi="宋体" w:cs="黑体"/>
          <w:b/>
          <w:bCs/>
          <w:color w:val="000000"/>
          <w:sz w:val="32"/>
          <w:szCs w:val="32"/>
        </w:rPr>
        <w:t>年级第</w:t>
      </w:r>
      <w:r>
        <w:rPr>
          <w:rFonts w:hint="eastAsia" w:ascii="宋体" w:hAnsi="宋体" w:cs="黑体"/>
          <w:b/>
          <w:bCs/>
          <w:color w:val="000000"/>
          <w:sz w:val="32"/>
          <w:szCs w:val="32"/>
          <w:lang w:val="en-US" w:eastAsia="zh-CN"/>
        </w:rPr>
        <w:t>二</w:t>
      </w:r>
      <w:r>
        <w:rPr>
          <w:rFonts w:hint="eastAsia" w:ascii="宋体" w:hAnsi="宋体" w:cs="黑体"/>
          <w:b/>
          <w:bCs/>
          <w:color w:val="000000"/>
          <w:sz w:val="32"/>
          <w:szCs w:val="32"/>
        </w:rPr>
        <w:t>期《课程纲要》</w:t>
      </w:r>
    </w:p>
    <w:p w14:paraId="16A516B0">
      <w:pPr>
        <w:spacing w:line="440" w:lineRule="exact"/>
        <w:rPr>
          <w:rFonts w:hint="eastAsia"/>
          <w:bCs/>
          <w:color w:val="000000"/>
          <w:sz w:val="24"/>
        </w:rPr>
      </w:pPr>
      <w:r>
        <w:rPr>
          <w:rFonts w:hint="eastAsia"/>
          <w:bCs/>
          <w:color w:val="000000"/>
          <w:sz w:val="24"/>
        </w:rPr>
        <w:t>课程名称：音乐</w:t>
      </w:r>
    </w:p>
    <w:p w14:paraId="348FE2DF">
      <w:pPr>
        <w:spacing w:line="440" w:lineRule="exact"/>
        <w:rPr>
          <w:rFonts w:hint="eastAsia"/>
          <w:bCs/>
          <w:color w:val="000000"/>
          <w:sz w:val="24"/>
        </w:rPr>
      </w:pPr>
      <w:r>
        <w:rPr>
          <w:rFonts w:hint="eastAsia"/>
          <w:bCs/>
          <w:color w:val="000000"/>
          <w:sz w:val="24"/>
        </w:rPr>
        <w:t>课程类型：必修</w:t>
      </w:r>
    </w:p>
    <w:p w14:paraId="2DBDF174">
      <w:pPr>
        <w:spacing w:line="440" w:lineRule="exact"/>
        <w:rPr>
          <w:rFonts w:hint="eastAsia"/>
          <w:bCs/>
          <w:color w:val="000000"/>
          <w:sz w:val="24"/>
        </w:rPr>
      </w:pPr>
      <w:r>
        <w:rPr>
          <w:rFonts w:hint="eastAsia"/>
          <w:bCs/>
          <w:color w:val="000000"/>
          <w:sz w:val="24"/>
        </w:rPr>
        <w:t>教材来源：人民音乐出版社</w:t>
      </w:r>
    </w:p>
    <w:p w14:paraId="2D5331DA">
      <w:pPr>
        <w:spacing w:line="440" w:lineRule="exact"/>
        <w:rPr>
          <w:rFonts w:hint="eastAsia"/>
          <w:bCs/>
          <w:color w:val="000000"/>
          <w:sz w:val="24"/>
        </w:rPr>
      </w:pPr>
      <w:r>
        <w:rPr>
          <w:rFonts w:hint="eastAsia"/>
          <w:bCs/>
          <w:color w:val="000000"/>
          <w:sz w:val="24"/>
        </w:rPr>
        <w:t>适应年级：小学</w:t>
      </w:r>
      <w:r>
        <w:rPr>
          <w:rFonts w:hint="eastAsia"/>
          <w:bCs/>
          <w:color w:val="000000"/>
          <w:sz w:val="24"/>
          <w:lang w:val="en-US" w:eastAsia="zh-CN"/>
        </w:rPr>
        <w:t>二</w:t>
      </w:r>
      <w:r>
        <w:rPr>
          <w:rFonts w:hint="eastAsia"/>
          <w:bCs/>
          <w:color w:val="000000"/>
          <w:sz w:val="24"/>
        </w:rPr>
        <w:t>年级</w:t>
      </w:r>
    </w:p>
    <w:p w14:paraId="0BD68321">
      <w:pPr>
        <w:spacing w:line="440" w:lineRule="exact"/>
        <w:rPr>
          <w:rFonts w:hint="eastAsia"/>
          <w:bCs/>
          <w:color w:val="000000"/>
          <w:sz w:val="24"/>
        </w:rPr>
      </w:pPr>
      <w:r>
        <w:rPr>
          <w:rFonts w:hint="eastAsia"/>
          <w:bCs/>
          <w:color w:val="000000"/>
          <w:sz w:val="24"/>
        </w:rPr>
        <w:t>课    时：</w:t>
      </w:r>
      <w:r>
        <w:rPr>
          <w:rFonts w:hint="eastAsia"/>
          <w:bCs/>
          <w:color w:val="000000" w:themeColor="text1"/>
          <w:sz w:val="24"/>
          <w14:textFill>
            <w14:solidFill>
              <w14:schemeClr w14:val="tx1"/>
            </w14:solidFill>
          </w14:textFill>
        </w:rPr>
        <w:t>36课时</w:t>
      </w:r>
    </w:p>
    <w:p w14:paraId="16A92915">
      <w:pPr>
        <w:spacing w:line="440" w:lineRule="exact"/>
        <w:rPr>
          <w:rFonts w:hint="eastAsia"/>
          <w:bCs/>
          <w:color w:val="000000"/>
          <w:sz w:val="24"/>
        </w:rPr>
      </w:pPr>
      <w:r>
        <w:rPr>
          <w:rFonts w:hint="eastAsia"/>
          <w:bCs/>
          <w:color w:val="000000"/>
          <w:sz w:val="24"/>
        </w:rPr>
        <w:t>设 计 者：</w:t>
      </w:r>
      <w:r>
        <w:rPr>
          <w:rFonts w:hint="eastAsia"/>
          <w:bCs/>
          <w:color w:val="000000"/>
          <w:sz w:val="24"/>
          <w:szCs w:val="24"/>
          <w:lang w:val="en-US" w:eastAsia="zh-Hans"/>
        </w:rPr>
        <w:t>棠外附小音乐组</w:t>
      </w:r>
      <w:r>
        <w:rPr>
          <w:rFonts w:hint="eastAsia"/>
          <w:bCs/>
          <w:color w:val="000000"/>
          <w:sz w:val="24"/>
        </w:rPr>
        <w:t xml:space="preserve"> </w:t>
      </w:r>
    </w:p>
    <w:p w14:paraId="31ADAE2F">
      <w:pPr>
        <w:spacing w:line="440" w:lineRule="exact"/>
        <w:rPr>
          <w:rFonts w:hint="eastAsia"/>
          <w:bCs/>
          <w:color w:val="000000"/>
          <w:sz w:val="24"/>
        </w:rPr>
      </w:pPr>
    </w:p>
    <w:p w14:paraId="672BF670">
      <w:pPr>
        <w:spacing w:line="440" w:lineRule="exact"/>
        <w:rPr>
          <w:rFonts w:hint="eastAsia"/>
          <w:b/>
          <w:bCs w:val="0"/>
          <w:color w:val="000000"/>
          <w:sz w:val="24"/>
        </w:rPr>
      </w:pPr>
      <w:r>
        <w:rPr>
          <w:rFonts w:hint="eastAsia" w:ascii="宋体" w:hAnsi="宋体"/>
          <w:b/>
          <w:bCs w:val="0"/>
          <w:color w:val="000000"/>
          <w:sz w:val="24"/>
        </w:rPr>
        <w:t>【</w:t>
      </w:r>
      <w:r>
        <w:rPr>
          <w:rFonts w:hint="eastAsia"/>
          <w:b/>
          <w:bCs w:val="0"/>
          <w:color w:val="000000"/>
          <w:sz w:val="24"/>
        </w:rPr>
        <w:t>背景</w:t>
      </w:r>
      <w:r>
        <w:rPr>
          <w:rFonts w:hint="eastAsia" w:ascii="宋体" w:hAnsi="宋体"/>
          <w:b/>
          <w:bCs w:val="0"/>
          <w:color w:val="000000"/>
          <w:sz w:val="24"/>
        </w:rPr>
        <w:t>】</w:t>
      </w:r>
    </w:p>
    <w:p w14:paraId="7391A0FE">
      <w:pPr>
        <w:widowControl/>
        <w:spacing w:line="440" w:lineRule="exact"/>
        <w:ind w:left="240" w:hanging="240" w:hangingChars="100"/>
        <w:rPr>
          <w:rFonts w:hint="eastAsia" w:ascii="宋体" w:hAnsi="宋体" w:cs="宋体"/>
          <w:bCs/>
          <w:sz w:val="24"/>
        </w:rPr>
      </w:pPr>
      <w:r>
        <w:rPr>
          <w:rFonts w:hint="eastAsia" w:ascii="宋体" w:hAnsi="宋体" w:cs="宋体"/>
          <w:bCs/>
          <w:sz w:val="24"/>
        </w:rPr>
        <w:t>《义务教育音乐课程标准》对于低学段学生在“感受与欣赏”和“表现”领域的要求：能够说出各类人声和常见乐器的音色特点；能够体验音乐情感的发展变化，并能简要描述或通过多种形式表现出来；结合所听音乐，了解音乐体裁与形式在音乐表现中的作用；聆听中国民族民间音乐，简单描述其不同的地域特点或民族风格；聆听世界部分国家的民族民间音乐，能够对其风格特点进行简单描述；能够主动地参与各种演唱活动，养成良好的歌唱习惯；能够自信地、有感情地演唱歌曲。</w:t>
      </w:r>
    </w:p>
    <w:p w14:paraId="6BC6B2A6">
      <w:pPr>
        <w:widowControl/>
        <w:spacing w:line="440" w:lineRule="exact"/>
        <w:ind w:left="240" w:hanging="240" w:hangingChars="100"/>
        <w:rPr>
          <w:rFonts w:hint="eastAsia" w:ascii="宋体" w:hAnsi="宋体" w:cs="宋体"/>
          <w:bCs/>
          <w:sz w:val="24"/>
        </w:rPr>
      </w:pPr>
      <w:r>
        <w:rPr>
          <w:rFonts w:hint="eastAsia" w:ascii="宋体" w:hAnsi="宋体" w:cs="宋体"/>
          <w:bCs/>
          <w:sz w:val="24"/>
        </w:rPr>
        <w:t>本学期的教材是由舞曲、我国内蒙古地区的民族民间音乐、民歌中的劳动号子及欧洲地区的民族民间音乐等内容有机的组织在一起，学生通过演唱、欣赏等途径，获取音乐知识和人文知识，提高音乐技能和音乐鉴赏能力。</w:t>
      </w:r>
    </w:p>
    <w:p w14:paraId="11BFEB09">
      <w:pPr>
        <w:widowControl/>
        <w:spacing w:line="440" w:lineRule="exact"/>
        <w:ind w:left="240" w:hanging="240" w:hangingChars="100"/>
        <w:rPr>
          <w:rFonts w:hint="eastAsia" w:ascii="宋体" w:hAnsi="宋体" w:cs="宋体"/>
          <w:bCs/>
          <w:sz w:val="24"/>
        </w:rPr>
      </w:pPr>
      <w:r>
        <w:rPr>
          <w:rFonts w:hint="eastAsia" w:ascii="宋体" w:hAnsi="宋体" w:cs="宋体"/>
          <w:bCs/>
          <w:sz w:val="24"/>
        </w:rPr>
        <w:t>二年级的音乐教学以学生的根本动力和终身喜爱音为必要前提。在教学过程中，要根据学生发展规律，以丰富多彩的教学内容和生动活泼的教学形式，活泼好动，有一定的表现欲，但自觉性较差，需要在音乐基础性知识、基本技能的学习中，逐步养成良好的音乐学习习惯，激发对学生对音乐的兴趣，不断提高音乐素养，丰富精神生活，为后续音乐课程的学习打下坚实的基础。</w:t>
      </w:r>
    </w:p>
    <w:p w14:paraId="29FB75E5">
      <w:pPr>
        <w:widowControl/>
        <w:spacing w:line="440" w:lineRule="exact"/>
        <w:ind w:left="240" w:hanging="241" w:hangingChars="100"/>
        <w:rPr>
          <w:rFonts w:hint="eastAsia" w:ascii="宋体" w:hAnsi="宋体" w:cs="宋体"/>
          <w:bCs/>
          <w:sz w:val="24"/>
        </w:rPr>
      </w:pPr>
      <w:r>
        <w:rPr>
          <w:rFonts w:hint="eastAsia" w:ascii="宋体" w:hAnsi="宋体"/>
          <w:b/>
          <w:bCs w:val="0"/>
          <w:color w:val="000000"/>
          <w:sz w:val="24"/>
        </w:rPr>
        <w:t>【</w:t>
      </w:r>
      <w:r>
        <w:rPr>
          <w:rFonts w:hint="eastAsia"/>
          <w:b/>
          <w:bCs w:val="0"/>
          <w:color w:val="000000"/>
          <w:sz w:val="24"/>
          <w:lang w:val="en-US" w:eastAsia="zh-CN"/>
        </w:rPr>
        <w:t>目标</w:t>
      </w:r>
      <w:r>
        <w:rPr>
          <w:rFonts w:hint="eastAsia" w:ascii="宋体" w:hAnsi="宋体"/>
          <w:b/>
          <w:bCs w:val="0"/>
          <w:color w:val="000000"/>
          <w:sz w:val="24"/>
        </w:rPr>
        <w:t>】</w:t>
      </w:r>
    </w:p>
    <w:p w14:paraId="1D64BB6B">
      <w:p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1、通过聆听乐曲，初步知道怎样聆听音乐，学习以动作的方式表达自己对音乐的感受；感受各种不同风格的乐曲感受音乐的情绪和音乐所描绘的人物形象及情景，体会主题，能用线条、动作、声音等表现自己听后的印象。</w:t>
      </w:r>
    </w:p>
    <w:p w14:paraId="713B98FA">
      <w:p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2、能够整齐地完成学唱歌曲；能在歌声与动作表演中表现歌曲所表达的不同情绪及所蕴含的不同情感和意境并通过歌曲的游戏，养成听音乐做动作的习惯。</w:t>
      </w:r>
    </w:p>
    <w:p w14:paraId="38AE3D18">
      <w:pPr>
        <w:spacing w:line="440" w:lineRule="exact"/>
        <w:jc w:val="left"/>
        <w:rPr>
          <w:rFonts w:hint="eastAsia" w:ascii="宋体" w:hAnsi="宋体" w:cs="宋体"/>
          <w:bCs/>
          <w:sz w:val="24"/>
        </w:rPr>
      </w:pPr>
      <w:r>
        <w:rPr>
          <w:rFonts w:hint="eastAsia" w:ascii="宋体" w:hAnsi="宋体" w:cs="宋体"/>
          <w:bCs/>
          <w:sz w:val="24"/>
          <w:lang w:val="en-US" w:eastAsia="zh-CN"/>
        </w:rPr>
        <w:t>3、通过学习二拍子、三拍子的强弱规律，掌握重难点音乐知识，能够编创歌词、编创动作表演来表现主题。</w:t>
      </w:r>
    </w:p>
    <w:p w14:paraId="481DAD82">
      <w:pPr>
        <w:widowControl/>
        <w:spacing w:line="440" w:lineRule="exact"/>
        <w:ind w:left="240" w:hanging="241" w:hangingChars="100"/>
        <w:rPr>
          <w:b/>
          <w:bCs w:val="0"/>
          <w:color w:val="000000"/>
          <w:sz w:val="24"/>
        </w:rPr>
      </w:pPr>
      <w:r>
        <w:rPr>
          <w:rFonts w:hint="eastAsia" w:ascii="宋体" w:hAnsi="宋体"/>
          <w:b/>
          <w:bCs w:val="0"/>
          <w:color w:val="000000"/>
          <w:sz w:val="24"/>
        </w:rPr>
        <w:t>【</w:t>
      </w:r>
      <w:r>
        <w:rPr>
          <w:rFonts w:hint="eastAsia"/>
          <w:b/>
          <w:bCs w:val="0"/>
          <w:color w:val="000000"/>
          <w:sz w:val="24"/>
        </w:rPr>
        <w:t>内容</w:t>
      </w:r>
      <w:r>
        <w:rPr>
          <w:rFonts w:hint="eastAsia" w:ascii="宋体" w:hAnsi="宋体"/>
          <w:b/>
          <w:bCs w:val="0"/>
          <w:color w:val="000000"/>
          <w:sz w:val="24"/>
        </w:rPr>
        <w:t>】</w:t>
      </w:r>
    </w:p>
    <w:tbl>
      <w:tblPr>
        <w:tblStyle w:val="6"/>
        <w:tblW w:w="9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914"/>
        <w:gridCol w:w="1944"/>
        <w:gridCol w:w="2970"/>
        <w:gridCol w:w="2462"/>
        <w:gridCol w:w="857"/>
      </w:tblGrid>
      <w:tr w14:paraId="0DDA7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914" w:type="dxa"/>
            <w:shd w:val="clear" w:color="auto" w:fill="FFFFFF"/>
            <w:noWrap w:val="0"/>
            <w:tcMar>
              <w:left w:w="108" w:type="dxa"/>
              <w:right w:w="108" w:type="dxa"/>
            </w:tcMar>
            <w:vAlign w:val="center"/>
          </w:tcPr>
          <w:p w14:paraId="7287BC9C">
            <w:pPr>
              <w:spacing w:line="440" w:lineRule="exact"/>
              <w:jc w:val="center"/>
              <w:rPr>
                <w:rFonts w:ascii="宋体" w:hAnsi="宋体" w:cs="宋体"/>
                <w:bCs/>
                <w:sz w:val="24"/>
              </w:rPr>
            </w:pPr>
            <w:bookmarkStart w:id="0" w:name="_Hlk96068732"/>
            <w:r>
              <w:rPr>
                <w:rFonts w:hint="eastAsia" w:ascii="宋体" w:hAnsi="宋体" w:cs="宋体"/>
                <w:bCs/>
                <w:sz w:val="24"/>
              </w:rPr>
              <w:t>单元</w:t>
            </w:r>
          </w:p>
        </w:tc>
        <w:tc>
          <w:tcPr>
            <w:tcW w:w="1944" w:type="dxa"/>
            <w:shd w:val="clear" w:color="auto" w:fill="FFFFFF"/>
            <w:noWrap w:val="0"/>
            <w:tcMar>
              <w:left w:w="108" w:type="dxa"/>
              <w:right w:w="108" w:type="dxa"/>
            </w:tcMar>
            <w:vAlign w:val="center"/>
          </w:tcPr>
          <w:p w14:paraId="6886B755">
            <w:pPr>
              <w:spacing w:line="440" w:lineRule="exact"/>
              <w:jc w:val="center"/>
              <w:rPr>
                <w:rFonts w:ascii="宋体" w:hAnsi="宋体" w:cs="宋体"/>
                <w:bCs/>
                <w:sz w:val="24"/>
              </w:rPr>
            </w:pPr>
            <w:r>
              <w:rPr>
                <w:rFonts w:hint="eastAsia" w:ascii="宋体" w:hAnsi="宋体" w:cs="宋体"/>
                <w:bCs/>
                <w:sz w:val="24"/>
              </w:rPr>
              <w:t>课题</w:t>
            </w:r>
          </w:p>
        </w:tc>
        <w:tc>
          <w:tcPr>
            <w:tcW w:w="2970" w:type="dxa"/>
            <w:shd w:val="clear" w:color="auto" w:fill="FFFFFF"/>
            <w:noWrap w:val="0"/>
            <w:tcMar>
              <w:left w:w="108" w:type="dxa"/>
              <w:right w:w="108" w:type="dxa"/>
            </w:tcMar>
            <w:vAlign w:val="center"/>
          </w:tcPr>
          <w:p w14:paraId="74D2B6D9">
            <w:pPr>
              <w:spacing w:line="440" w:lineRule="exact"/>
              <w:jc w:val="center"/>
              <w:rPr>
                <w:rFonts w:ascii="宋体" w:hAnsi="宋体" w:cs="宋体"/>
                <w:bCs/>
                <w:sz w:val="24"/>
              </w:rPr>
            </w:pPr>
            <w:r>
              <w:rPr>
                <w:rFonts w:hint="eastAsia" w:ascii="宋体" w:hAnsi="宋体" w:cs="宋体"/>
                <w:bCs/>
                <w:sz w:val="24"/>
              </w:rPr>
              <w:t>课程知识要点</w:t>
            </w:r>
          </w:p>
        </w:tc>
        <w:tc>
          <w:tcPr>
            <w:tcW w:w="2462" w:type="dxa"/>
            <w:shd w:val="clear" w:color="auto" w:fill="FFFFFF"/>
            <w:noWrap w:val="0"/>
            <w:tcMar>
              <w:left w:w="108" w:type="dxa"/>
              <w:right w:w="108" w:type="dxa"/>
            </w:tcMar>
            <w:vAlign w:val="center"/>
          </w:tcPr>
          <w:p w14:paraId="2DAE8DD8">
            <w:pPr>
              <w:spacing w:line="440" w:lineRule="exact"/>
              <w:jc w:val="center"/>
              <w:rPr>
                <w:rFonts w:ascii="宋体" w:hAnsi="宋体" w:cs="宋体"/>
                <w:bCs/>
                <w:sz w:val="24"/>
              </w:rPr>
            </w:pPr>
            <w:r>
              <w:rPr>
                <w:rFonts w:hint="eastAsia" w:ascii="宋体" w:hAnsi="宋体" w:cs="宋体"/>
                <w:bCs/>
                <w:sz w:val="24"/>
              </w:rPr>
              <w:t>学习内容</w:t>
            </w:r>
          </w:p>
        </w:tc>
        <w:tc>
          <w:tcPr>
            <w:tcW w:w="857" w:type="dxa"/>
            <w:shd w:val="clear" w:color="auto" w:fill="FFFFFF"/>
            <w:noWrap w:val="0"/>
            <w:tcMar>
              <w:left w:w="108" w:type="dxa"/>
              <w:right w:w="108" w:type="dxa"/>
            </w:tcMar>
            <w:vAlign w:val="center"/>
          </w:tcPr>
          <w:p w14:paraId="77805E1C">
            <w:pPr>
              <w:spacing w:line="440" w:lineRule="exact"/>
              <w:jc w:val="center"/>
              <w:rPr>
                <w:rFonts w:ascii="宋体" w:hAnsi="宋体" w:cs="宋体"/>
                <w:bCs/>
                <w:sz w:val="24"/>
              </w:rPr>
            </w:pPr>
            <w:r>
              <w:rPr>
                <w:rFonts w:hint="eastAsia" w:ascii="宋体" w:hAnsi="宋体" w:cs="宋体"/>
                <w:bCs/>
                <w:sz w:val="24"/>
              </w:rPr>
              <w:t>课时</w:t>
            </w:r>
          </w:p>
        </w:tc>
      </w:tr>
      <w:tr w14:paraId="6A8AC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3" w:hRule="atLeast"/>
          <w:jc w:val="center"/>
        </w:trPr>
        <w:tc>
          <w:tcPr>
            <w:tcW w:w="914" w:type="dxa"/>
            <w:shd w:val="clear" w:color="auto" w:fill="FFFFFF"/>
            <w:noWrap w:val="0"/>
            <w:tcMar>
              <w:left w:w="108" w:type="dxa"/>
              <w:right w:w="108" w:type="dxa"/>
            </w:tcMar>
            <w:vAlign w:val="center"/>
          </w:tcPr>
          <w:p w14:paraId="47B099ED">
            <w:pPr>
              <w:spacing w:line="440" w:lineRule="exact"/>
              <w:jc w:val="center"/>
              <w:rPr>
                <w:rFonts w:ascii="宋体" w:hAnsi="宋体" w:cs="宋体"/>
                <w:bCs/>
                <w:sz w:val="24"/>
              </w:rPr>
            </w:pPr>
          </w:p>
        </w:tc>
        <w:tc>
          <w:tcPr>
            <w:tcW w:w="1944" w:type="dxa"/>
            <w:shd w:val="clear" w:color="auto" w:fill="FFFFFF"/>
            <w:noWrap w:val="0"/>
            <w:tcMar>
              <w:left w:w="108" w:type="dxa"/>
              <w:right w:w="108" w:type="dxa"/>
            </w:tcMar>
            <w:vAlign w:val="center"/>
          </w:tcPr>
          <w:p w14:paraId="3085B10A">
            <w:pPr>
              <w:spacing w:line="440" w:lineRule="exact"/>
              <w:jc w:val="center"/>
              <w:rPr>
                <w:rFonts w:ascii="宋体" w:hAnsi="宋体" w:cs="宋体"/>
                <w:bCs/>
                <w:sz w:val="24"/>
              </w:rPr>
            </w:pPr>
            <w:r>
              <w:rPr>
                <w:rFonts w:hint="eastAsia" w:ascii="宋体" w:hAnsi="宋体" w:cs="宋体"/>
                <w:bCs/>
                <w:sz w:val="24"/>
              </w:rPr>
              <w:t>导入课</w:t>
            </w:r>
          </w:p>
        </w:tc>
        <w:tc>
          <w:tcPr>
            <w:tcW w:w="2970" w:type="dxa"/>
            <w:shd w:val="clear" w:color="auto" w:fill="FFFFFF"/>
            <w:noWrap w:val="0"/>
            <w:tcMar>
              <w:left w:w="108" w:type="dxa"/>
              <w:right w:w="108" w:type="dxa"/>
            </w:tcMar>
            <w:vAlign w:val="top"/>
          </w:tcPr>
          <w:p w14:paraId="396774E7">
            <w:pPr>
              <w:spacing w:line="440" w:lineRule="exact"/>
              <w:jc w:val="left"/>
              <w:rPr>
                <w:rFonts w:ascii="宋体" w:hAnsi="宋体" w:cs="宋体"/>
                <w:bCs/>
                <w:sz w:val="24"/>
              </w:rPr>
            </w:pPr>
            <w:r>
              <w:rPr>
                <w:rFonts w:hint="eastAsia" w:ascii="宋体" w:hAnsi="宋体" w:cs="宋体"/>
                <w:bCs/>
                <w:sz w:val="24"/>
              </w:rPr>
              <w:t>总结上学期学习情况，</w:t>
            </w:r>
          </w:p>
          <w:p w14:paraId="621BCBDC">
            <w:pPr>
              <w:spacing w:line="440" w:lineRule="exact"/>
              <w:jc w:val="left"/>
              <w:rPr>
                <w:rFonts w:ascii="宋体" w:hAnsi="宋体" w:cs="宋体"/>
                <w:bCs/>
                <w:sz w:val="24"/>
              </w:rPr>
            </w:pPr>
            <w:r>
              <w:rPr>
                <w:rFonts w:hint="eastAsia" w:ascii="宋体" w:hAnsi="宋体" w:cs="宋体"/>
                <w:bCs/>
                <w:sz w:val="24"/>
              </w:rPr>
              <w:t>了解本学学习内容。</w:t>
            </w:r>
          </w:p>
        </w:tc>
        <w:tc>
          <w:tcPr>
            <w:tcW w:w="2462" w:type="dxa"/>
            <w:shd w:val="clear" w:color="auto" w:fill="FFFFFF"/>
            <w:noWrap w:val="0"/>
            <w:tcMar>
              <w:left w:w="108" w:type="dxa"/>
              <w:right w:w="108" w:type="dxa"/>
            </w:tcMar>
            <w:vAlign w:val="center"/>
          </w:tcPr>
          <w:p w14:paraId="0747148B">
            <w:pPr>
              <w:spacing w:line="440" w:lineRule="exact"/>
              <w:jc w:val="center"/>
              <w:rPr>
                <w:rFonts w:ascii="宋体" w:hAnsi="宋体" w:cs="宋体"/>
                <w:bCs/>
                <w:sz w:val="24"/>
              </w:rPr>
            </w:pPr>
            <w:r>
              <w:rPr>
                <w:rFonts w:hint="eastAsia" w:ascii="宋体" w:hAnsi="宋体" w:cs="宋体"/>
                <w:bCs/>
                <w:sz w:val="24"/>
              </w:rPr>
              <w:t>分享课程纲要</w:t>
            </w:r>
          </w:p>
        </w:tc>
        <w:tc>
          <w:tcPr>
            <w:tcW w:w="857" w:type="dxa"/>
            <w:shd w:val="clear" w:color="auto" w:fill="FFFFFF"/>
            <w:noWrap w:val="0"/>
            <w:tcMar>
              <w:left w:w="108" w:type="dxa"/>
              <w:right w:w="108" w:type="dxa"/>
            </w:tcMar>
            <w:vAlign w:val="center"/>
          </w:tcPr>
          <w:p w14:paraId="76A9E985">
            <w:pPr>
              <w:spacing w:line="440" w:lineRule="exact"/>
              <w:jc w:val="center"/>
              <w:rPr>
                <w:rFonts w:ascii="宋体" w:hAnsi="宋体" w:cs="宋体"/>
                <w:bCs/>
                <w:sz w:val="24"/>
              </w:rPr>
            </w:pPr>
            <w:r>
              <w:rPr>
                <w:rFonts w:hint="eastAsia" w:ascii="宋体" w:hAnsi="宋体" w:cs="宋体"/>
                <w:bCs/>
                <w:sz w:val="24"/>
              </w:rPr>
              <w:t>1</w:t>
            </w:r>
          </w:p>
        </w:tc>
      </w:tr>
      <w:tr w14:paraId="6C5F6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8" w:hRule="atLeast"/>
          <w:jc w:val="center"/>
        </w:trPr>
        <w:tc>
          <w:tcPr>
            <w:tcW w:w="914" w:type="dxa"/>
            <w:shd w:val="clear" w:color="auto" w:fill="FFFFFF"/>
            <w:noWrap w:val="0"/>
            <w:tcMar>
              <w:left w:w="108" w:type="dxa"/>
              <w:right w:w="108" w:type="dxa"/>
            </w:tcMar>
            <w:vAlign w:val="center"/>
          </w:tcPr>
          <w:p w14:paraId="00233034">
            <w:pPr>
              <w:spacing w:line="440" w:lineRule="exact"/>
              <w:jc w:val="center"/>
              <w:rPr>
                <w:rFonts w:ascii="宋体" w:hAnsi="宋体" w:cs="宋体"/>
                <w:bCs/>
                <w:sz w:val="24"/>
              </w:rPr>
            </w:pPr>
            <w:r>
              <w:rPr>
                <w:rFonts w:hint="eastAsia" w:ascii="宋体" w:hAnsi="宋体" w:cs="宋体"/>
                <w:bCs/>
                <w:sz w:val="24"/>
              </w:rPr>
              <w:t>1</w:t>
            </w:r>
          </w:p>
        </w:tc>
        <w:tc>
          <w:tcPr>
            <w:tcW w:w="1944" w:type="dxa"/>
            <w:shd w:val="clear" w:color="auto" w:fill="FFFFFF"/>
            <w:noWrap w:val="0"/>
            <w:tcMar>
              <w:left w:w="108" w:type="dxa"/>
              <w:right w:w="108" w:type="dxa"/>
            </w:tcMar>
            <w:vAlign w:val="center"/>
          </w:tcPr>
          <w:p w14:paraId="60D3A8BA">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绿色的祝福</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25791C12">
            <w:pPr>
              <w:numPr>
                <w:ilvl w:val="0"/>
                <w:numId w:val="1"/>
              </w:numPr>
              <w:spacing w:line="440" w:lineRule="exact"/>
              <w:jc w:val="left"/>
              <w:rPr>
                <w:rFonts w:hint="eastAsia" w:ascii="宋体" w:hAnsi="宋体" w:cs="宋体"/>
                <w:b w:val="0"/>
                <w:bCs/>
                <w:color w:val="000000" w:themeColor="text1"/>
                <w:sz w:val="24"/>
                <w:lang w:val="en-US" w:eastAsia="zh-CN"/>
                <w14:textFill>
                  <w14:solidFill>
                    <w14:schemeClr w14:val="tx1"/>
                  </w14:solidFill>
                </w14:textFill>
              </w:rPr>
            </w:pPr>
            <w:r>
              <w:rPr>
                <w:rFonts w:hint="eastAsia" w:ascii="宋体" w:hAnsi="宋体" w:cs="宋体"/>
                <w:b w:val="0"/>
                <w:bCs/>
                <w:color w:val="000000" w:themeColor="text1"/>
                <w:sz w:val="24"/>
                <w:lang w:val="en-US" w:eastAsia="zh-CN"/>
                <w14:textFill>
                  <w14:solidFill>
                    <w14:schemeClr w14:val="tx1"/>
                  </w14:solidFill>
                </w14:textFill>
              </w:rPr>
              <w:t>通过聆听、演唱绿色主题作品，感受音乐中的自然意境，树立爱护环境的意识。</w:t>
            </w:r>
          </w:p>
          <w:p w14:paraId="7A0AEB5B">
            <w:pPr>
              <w:numPr>
                <w:ilvl w:val="0"/>
                <w:numId w:val="1"/>
              </w:numPr>
              <w:spacing w:line="440" w:lineRule="exact"/>
              <w:jc w:val="left"/>
              <w:rPr>
                <w:rFonts w:hint="default" w:ascii="宋体" w:hAnsi="宋体" w:cs="宋体"/>
                <w:bCs/>
                <w:color w:val="0000FF"/>
                <w:sz w:val="24"/>
                <w:lang w:val="en-US" w:eastAsia="zh-CN"/>
              </w:rPr>
            </w:pPr>
            <w:r>
              <w:rPr>
                <w:rFonts w:hint="eastAsia" w:ascii="宋体" w:hAnsi="宋体" w:cs="宋体"/>
                <w:b w:val="0"/>
                <w:bCs/>
                <w:color w:val="000000" w:themeColor="text1"/>
                <w:sz w:val="24"/>
                <w:lang w:val="en-US" w:eastAsia="zh-CN"/>
                <w14:textFill>
                  <w14:solidFill>
                    <w14:schemeClr w14:val="tx1"/>
                  </w14:solidFill>
                </w14:textFill>
              </w:rPr>
              <w:t xml:space="preserve"> 通过节奏互动与合唱体验，掌握强弱对比的演唱技巧，提升童声协作演唱能力。3. 通过音乐实践活动，体会音乐与自然生活的关联，激发对绿色家园的热爱。</w:t>
            </w:r>
          </w:p>
        </w:tc>
        <w:tc>
          <w:tcPr>
            <w:tcW w:w="2462" w:type="dxa"/>
            <w:shd w:val="clear" w:color="auto" w:fill="FFFFFF"/>
            <w:noWrap w:val="0"/>
            <w:tcMar>
              <w:left w:w="108" w:type="dxa"/>
              <w:right w:w="108" w:type="dxa"/>
            </w:tcMar>
            <w:vAlign w:val="center"/>
          </w:tcPr>
          <w:p w14:paraId="04AE9888">
            <w:pPr>
              <w:pStyle w:val="2"/>
              <w:rPr>
                <w:rFonts w:hint="eastAsia" w:ascii="宋体" w:hAnsi="宋体"/>
                <w:color w:val="000000" w:themeColor="text1"/>
                <w:sz w:val="24"/>
                <w14:textFill>
                  <w14:solidFill>
                    <w14:schemeClr w14:val="tx1"/>
                  </w14:solidFill>
                </w14:textFill>
              </w:rPr>
            </w:pPr>
            <w:r>
              <w:rPr>
                <w:rFonts w:hint="eastAsia" w:hAnsi="宋体"/>
                <w:color w:val="000000" w:themeColor="text1"/>
                <w:sz w:val="24"/>
                <w:lang w:val="en-US" w:eastAsia="zh-CN"/>
                <w14:textFill>
                  <w14:solidFill>
                    <w14:schemeClr w14:val="tx1"/>
                  </w14:solidFill>
                </w14:textFill>
              </w:rPr>
              <w:t>唱歌</w:t>
            </w:r>
            <w:r>
              <w:rPr>
                <w:rFonts w:hint="eastAsia" w:ascii="宋体" w:hAnsi="宋体"/>
                <w:color w:val="000000" w:themeColor="text1"/>
                <w:sz w:val="24"/>
                <w14:textFill>
                  <w14:solidFill>
                    <w14:schemeClr w14:val="tx1"/>
                  </w14:solidFill>
                </w14:textFill>
              </w:rPr>
              <w:t>：《小树快长高》《大树妈妈》《郊游》</w:t>
            </w:r>
          </w:p>
          <w:p w14:paraId="1F1D96B9">
            <w:pPr>
              <w:pStyle w:val="2"/>
              <w:rPr>
                <w:rFonts w:hint="default" w:hAnsi="宋体"/>
                <w:color w:val="0000FF"/>
                <w:sz w:val="24"/>
                <w:lang w:val="en-US" w:eastAsia="zh-CN"/>
              </w:rPr>
            </w:pPr>
            <w:r>
              <w:rPr>
                <w:rFonts w:hint="eastAsia" w:ascii="宋体" w:hAnsi="宋体"/>
                <w:color w:val="000000" w:themeColor="text1"/>
                <w:sz w:val="24"/>
                <w14:textFill>
                  <w14:solidFill>
                    <w14:schemeClr w14:val="tx1"/>
                  </w14:solidFill>
                </w14:textFill>
              </w:rPr>
              <w:t>聆听：《春之歌》《绿色的祖国》</w:t>
            </w:r>
          </w:p>
        </w:tc>
        <w:tc>
          <w:tcPr>
            <w:tcW w:w="857" w:type="dxa"/>
            <w:shd w:val="clear" w:color="auto" w:fill="FFFFFF"/>
            <w:noWrap w:val="0"/>
            <w:tcMar>
              <w:left w:w="108" w:type="dxa"/>
              <w:right w:w="108" w:type="dxa"/>
            </w:tcMar>
            <w:vAlign w:val="center"/>
          </w:tcPr>
          <w:p w14:paraId="603B60E8">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5</w:t>
            </w:r>
          </w:p>
        </w:tc>
      </w:tr>
      <w:tr w14:paraId="3885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1" w:hRule="atLeast"/>
          <w:jc w:val="center"/>
        </w:trPr>
        <w:tc>
          <w:tcPr>
            <w:tcW w:w="914" w:type="dxa"/>
            <w:shd w:val="clear" w:color="auto" w:fill="FFFFFF"/>
            <w:noWrap w:val="0"/>
            <w:tcMar>
              <w:left w:w="108" w:type="dxa"/>
              <w:right w:w="108" w:type="dxa"/>
            </w:tcMar>
            <w:vAlign w:val="center"/>
          </w:tcPr>
          <w:p w14:paraId="545B6B7E">
            <w:pPr>
              <w:spacing w:line="440" w:lineRule="exact"/>
              <w:jc w:val="center"/>
              <w:rPr>
                <w:rFonts w:ascii="宋体" w:hAnsi="宋体" w:cs="宋体"/>
                <w:bCs/>
                <w:sz w:val="24"/>
              </w:rPr>
            </w:pPr>
            <w:r>
              <w:rPr>
                <w:rFonts w:hint="eastAsia" w:ascii="宋体" w:hAnsi="宋体" w:cs="宋体"/>
                <w:bCs/>
                <w:sz w:val="24"/>
              </w:rPr>
              <w:t>2</w:t>
            </w:r>
          </w:p>
        </w:tc>
        <w:tc>
          <w:tcPr>
            <w:tcW w:w="1944" w:type="dxa"/>
            <w:shd w:val="clear" w:color="auto" w:fill="FFFFFF"/>
            <w:noWrap w:val="0"/>
            <w:tcMar>
              <w:left w:w="108" w:type="dxa"/>
              <w:right w:w="108" w:type="dxa"/>
            </w:tcMar>
            <w:vAlign w:val="center"/>
          </w:tcPr>
          <w:p w14:paraId="073B2C7A">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难忘的歌</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7B30FDF8">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通过学唱革命儿童歌曲，了解红色音乐背景，厚植爱国情怀和集体荣誉感。</w:t>
            </w:r>
          </w:p>
          <w:p w14:paraId="1AFDA51A">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巩固五声音阶 1 2 3 5 6，提升识谱和演唱能力。</w:t>
            </w:r>
          </w:p>
          <w:p w14:paraId="0D2BE566">
            <w:pPr>
              <w:numPr>
                <w:ilvl w:val="0"/>
                <w:numId w:val="2"/>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 xml:space="preserve"> 通过情境表演与队列律动，培养学生的团队协作能力和音乐表现力。</w:t>
            </w:r>
          </w:p>
        </w:tc>
        <w:tc>
          <w:tcPr>
            <w:tcW w:w="2462" w:type="dxa"/>
            <w:shd w:val="clear" w:color="auto" w:fill="FFFFFF"/>
            <w:noWrap w:val="0"/>
            <w:tcMar>
              <w:left w:w="108" w:type="dxa"/>
              <w:right w:w="108" w:type="dxa"/>
            </w:tcMar>
            <w:vAlign w:val="center"/>
          </w:tcPr>
          <w:p w14:paraId="51331BCC">
            <w:pPr>
              <w:spacing w:line="440" w:lineRule="exact"/>
              <w:jc w:val="left"/>
              <w:rPr>
                <w:rFonts w:hint="eastAsia" w:ascii="宋体" w:hAnsi="宋体"/>
                <w:color w:val="000000"/>
                <w:sz w:val="24"/>
              </w:rPr>
            </w:pPr>
            <w:r>
              <w:rPr>
                <w:rFonts w:hint="eastAsia" w:ascii="宋体" w:hAnsi="宋体"/>
                <w:color w:val="000000"/>
                <w:sz w:val="24"/>
                <w:lang w:val="en-US" w:eastAsia="zh-CN"/>
              </w:rPr>
              <w:t>唱歌</w:t>
            </w:r>
            <w:r>
              <w:rPr>
                <w:rFonts w:hint="eastAsia" w:ascii="宋体" w:hAnsi="宋体"/>
                <w:color w:val="000000"/>
                <w:sz w:val="24"/>
              </w:rPr>
              <w:t>：《共产儿童团歌》《卖报歌》</w:t>
            </w:r>
          </w:p>
          <w:p w14:paraId="091E51B3">
            <w:pPr>
              <w:spacing w:line="440" w:lineRule="exact"/>
              <w:jc w:val="left"/>
              <w:rPr>
                <w:rFonts w:ascii="宋体" w:hAnsi="宋体" w:cs="宋体"/>
                <w:bCs/>
                <w:sz w:val="24"/>
              </w:rPr>
            </w:pPr>
            <w:r>
              <w:rPr>
                <w:rFonts w:hint="eastAsia" w:ascii="宋体" w:hAnsi="宋体"/>
                <w:color w:val="000000"/>
                <w:sz w:val="24"/>
              </w:rPr>
              <w:t>聆听：《中国少年先锋队队歌》《酸枣刺》</w:t>
            </w:r>
          </w:p>
        </w:tc>
        <w:tc>
          <w:tcPr>
            <w:tcW w:w="857" w:type="dxa"/>
            <w:shd w:val="clear" w:color="auto" w:fill="FFFFFF"/>
            <w:noWrap w:val="0"/>
            <w:tcMar>
              <w:left w:w="108" w:type="dxa"/>
              <w:right w:w="108" w:type="dxa"/>
            </w:tcMar>
            <w:vAlign w:val="center"/>
          </w:tcPr>
          <w:p w14:paraId="45BFFB12">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5A830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0" w:hRule="atLeast"/>
          <w:jc w:val="center"/>
        </w:trPr>
        <w:tc>
          <w:tcPr>
            <w:tcW w:w="914" w:type="dxa"/>
            <w:shd w:val="clear" w:color="auto" w:fill="FFFFFF"/>
            <w:noWrap w:val="0"/>
            <w:tcMar>
              <w:left w:w="108" w:type="dxa"/>
              <w:right w:w="108" w:type="dxa"/>
            </w:tcMar>
            <w:vAlign w:val="center"/>
          </w:tcPr>
          <w:p w14:paraId="63738452">
            <w:pPr>
              <w:spacing w:line="440" w:lineRule="exact"/>
              <w:jc w:val="center"/>
              <w:rPr>
                <w:rFonts w:ascii="宋体" w:hAnsi="宋体" w:cs="宋体"/>
                <w:bCs/>
                <w:sz w:val="24"/>
              </w:rPr>
            </w:pPr>
            <w:r>
              <w:rPr>
                <w:rFonts w:hint="eastAsia" w:ascii="宋体" w:hAnsi="宋体" w:cs="宋体"/>
                <w:bCs/>
                <w:sz w:val="24"/>
              </w:rPr>
              <w:t>3</w:t>
            </w:r>
          </w:p>
        </w:tc>
        <w:tc>
          <w:tcPr>
            <w:tcW w:w="1944" w:type="dxa"/>
            <w:shd w:val="clear" w:color="auto" w:fill="FFFFFF"/>
            <w:noWrap w:val="0"/>
            <w:tcMar>
              <w:left w:w="108" w:type="dxa"/>
              <w:right w:w="108" w:type="dxa"/>
            </w:tcMar>
            <w:vAlign w:val="center"/>
          </w:tcPr>
          <w:p w14:paraId="40A9A86E">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飞呀飞</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4075A99A">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通过模仿动物的音乐形象，激发学生对音乐学习的兴趣和想象力。</w:t>
            </w:r>
          </w:p>
          <w:p w14:paraId="22811145">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 xml:space="preserve"> 认识并掌握四分音符、四分休止符、八分音符、八分休止符，提升节奏感知与表现能力。</w:t>
            </w:r>
          </w:p>
          <w:p w14:paraId="184DE2FA">
            <w:pPr>
              <w:numPr>
                <w:ilvl w:val="0"/>
                <w:numId w:val="3"/>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通过小小音乐剧表演，培养学生的音乐创造力和同伴协作意识。</w:t>
            </w:r>
          </w:p>
        </w:tc>
        <w:tc>
          <w:tcPr>
            <w:tcW w:w="2462" w:type="dxa"/>
            <w:shd w:val="clear" w:color="auto" w:fill="FFFFFF"/>
            <w:noWrap w:val="0"/>
            <w:tcMar>
              <w:left w:w="108" w:type="dxa"/>
              <w:right w:w="108" w:type="dxa"/>
            </w:tcMar>
            <w:vAlign w:val="center"/>
          </w:tcPr>
          <w:p w14:paraId="7EBF9BD0">
            <w:pPr>
              <w:pStyle w:val="2"/>
              <w:rPr>
                <w:rFonts w:hint="eastAsia" w:ascii="宋体" w:hAnsi="宋体"/>
                <w:color w:val="000000"/>
                <w:sz w:val="24"/>
              </w:rPr>
            </w:pPr>
            <w:r>
              <w:rPr>
                <w:rFonts w:hint="eastAsia" w:ascii="宋体" w:hAnsi="宋体"/>
                <w:color w:val="000000"/>
                <w:sz w:val="24"/>
              </w:rPr>
              <w:t>唱歌：《小蜜蜂》</w:t>
            </w:r>
          </w:p>
          <w:p w14:paraId="0A404636">
            <w:pPr>
              <w:pStyle w:val="2"/>
              <w:rPr>
                <w:rFonts w:hint="default" w:eastAsia="宋体"/>
                <w:lang w:val="en-US" w:eastAsia="zh-CN"/>
              </w:rPr>
            </w:pPr>
            <w:r>
              <w:rPr>
                <w:rFonts w:hint="eastAsia" w:ascii="宋体" w:hAnsi="宋体"/>
                <w:color w:val="000000"/>
                <w:sz w:val="24"/>
              </w:rPr>
              <w:t>聆听：《蜜蜂》《蝴蝶》《采茶扑蝶》</w:t>
            </w:r>
          </w:p>
        </w:tc>
        <w:tc>
          <w:tcPr>
            <w:tcW w:w="857" w:type="dxa"/>
            <w:shd w:val="clear" w:color="auto" w:fill="FFFFFF"/>
            <w:noWrap w:val="0"/>
            <w:tcMar>
              <w:left w:w="108" w:type="dxa"/>
              <w:right w:w="108" w:type="dxa"/>
            </w:tcMar>
            <w:vAlign w:val="center"/>
          </w:tcPr>
          <w:p w14:paraId="223A8731">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2E5D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914" w:type="dxa"/>
            <w:shd w:val="clear" w:color="auto" w:fill="FFFFFF"/>
            <w:noWrap w:val="0"/>
            <w:tcMar>
              <w:left w:w="108" w:type="dxa"/>
              <w:right w:w="108" w:type="dxa"/>
            </w:tcMar>
            <w:vAlign w:val="center"/>
          </w:tcPr>
          <w:p w14:paraId="2945AC13">
            <w:pPr>
              <w:spacing w:line="440" w:lineRule="exact"/>
              <w:jc w:val="center"/>
              <w:rPr>
                <w:rFonts w:ascii="宋体" w:hAnsi="宋体" w:cs="宋体"/>
                <w:bCs/>
                <w:sz w:val="24"/>
              </w:rPr>
            </w:pPr>
            <w:r>
              <w:rPr>
                <w:rFonts w:hint="eastAsia" w:ascii="宋体" w:hAnsi="宋体" w:cs="宋体"/>
                <w:bCs/>
                <w:sz w:val="24"/>
              </w:rPr>
              <w:t>4</w:t>
            </w:r>
          </w:p>
        </w:tc>
        <w:tc>
          <w:tcPr>
            <w:tcW w:w="1944" w:type="dxa"/>
            <w:shd w:val="clear" w:color="auto" w:fill="FFFFFF"/>
            <w:noWrap w:val="0"/>
            <w:tcMar>
              <w:left w:w="108" w:type="dxa"/>
              <w:right w:w="108" w:type="dxa"/>
            </w:tcMar>
            <w:vAlign w:val="center"/>
          </w:tcPr>
          <w:p w14:paraId="507F7884">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美丽家园</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55CE6330">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通过聆听、演唱民族音乐，感受藏族、蒙古族、新疆等民族的音乐特色，增强民族认同感。</w:t>
            </w:r>
          </w:p>
          <w:p w14:paraId="4229EA69">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学习反复记号、调号、拍号、全音符、力度记号，认识乐器“木琴”，提升音乐识读能力。</w:t>
            </w:r>
          </w:p>
          <w:p w14:paraId="7D4437D6">
            <w:pPr>
              <w:numPr>
                <w:ilvl w:val="0"/>
                <w:numId w:val="4"/>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 xml:space="preserve"> 通过音乐游戏与律动，体会多元文化的魅力，培养对民族音乐的热爱。</w:t>
            </w:r>
          </w:p>
        </w:tc>
        <w:tc>
          <w:tcPr>
            <w:tcW w:w="2462" w:type="dxa"/>
            <w:shd w:val="clear" w:color="auto" w:fill="FFFFFF"/>
            <w:noWrap w:val="0"/>
            <w:tcMar>
              <w:left w:w="108" w:type="dxa"/>
              <w:right w:w="108" w:type="dxa"/>
            </w:tcMar>
            <w:vAlign w:val="center"/>
          </w:tcPr>
          <w:p w14:paraId="4B4DC9AF">
            <w:pPr>
              <w:spacing w:line="440" w:lineRule="exact"/>
              <w:jc w:val="left"/>
              <w:rPr>
                <w:rFonts w:hint="eastAsia" w:ascii="宋体" w:hAnsi="宋体"/>
                <w:color w:val="000000"/>
                <w:sz w:val="24"/>
              </w:rPr>
            </w:pPr>
            <w:r>
              <w:rPr>
                <w:rFonts w:hint="eastAsia" w:ascii="宋体" w:hAnsi="宋体"/>
                <w:color w:val="000000"/>
                <w:sz w:val="24"/>
              </w:rPr>
              <w:t>唱歌：《我的家在日喀则》《草原上》</w:t>
            </w:r>
          </w:p>
          <w:p w14:paraId="091874B5">
            <w:pPr>
              <w:spacing w:line="440" w:lineRule="exact"/>
              <w:jc w:val="left"/>
              <w:rPr>
                <w:rFonts w:hint="eastAsia" w:ascii="宋体" w:hAnsi="宋体"/>
                <w:color w:val="000000"/>
                <w:sz w:val="24"/>
              </w:rPr>
            </w:pPr>
            <w:r>
              <w:rPr>
                <w:rFonts w:hint="eastAsia" w:ascii="宋体" w:hAnsi="宋体"/>
                <w:color w:val="000000"/>
                <w:sz w:val="24"/>
              </w:rPr>
              <w:t>聆听：《新疆舞曲第一号》《我是人民小骑兵》</w:t>
            </w:r>
          </w:p>
          <w:p w14:paraId="00AD3A30">
            <w:pPr>
              <w:spacing w:line="440" w:lineRule="exact"/>
              <w:jc w:val="left"/>
              <w:rPr>
                <w:rFonts w:ascii="宋体" w:hAnsi="宋体" w:cs="宋体"/>
                <w:bCs/>
                <w:sz w:val="24"/>
              </w:rPr>
            </w:pPr>
          </w:p>
        </w:tc>
        <w:tc>
          <w:tcPr>
            <w:tcW w:w="857" w:type="dxa"/>
            <w:shd w:val="clear" w:color="auto" w:fill="FFFFFF"/>
            <w:noWrap w:val="0"/>
            <w:tcMar>
              <w:left w:w="108" w:type="dxa"/>
              <w:right w:w="108" w:type="dxa"/>
            </w:tcMar>
            <w:vAlign w:val="center"/>
          </w:tcPr>
          <w:p w14:paraId="512893FF">
            <w:pPr>
              <w:spacing w:line="440" w:lineRule="exact"/>
              <w:ind w:firstLine="240" w:firstLineChars="100"/>
              <w:jc w:val="both"/>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643B2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914" w:type="dxa"/>
            <w:shd w:val="clear" w:color="auto" w:fill="FFFFFF"/>
            <w:noWrap w:val="0"/>
            <w:tcMar>
              <w:left w:w="108" w:type="dxa"/>
              <w:right w:w="108" w:type="dxa"/>
            </w:tcMar>
            <w:vAlign w:val="center"/>
          </w:tcPr>
          <w:p w14:paraId="7AACC7A3">
            <w:pPr>
              <w:spacing w:line="440" w:lineRule="exact"/>
              <w:jc w:val="center"/>
              <w:rPr>
                <w:rFonts w:ascii="宋体" w:hAnsi="宋体" w:cs="宋体"/>
                <w:bCs/>
                <w:sz w:val="24"/>
              </w:rPr>
            </w:pPr>
            <w:r>
              <w:rPr>
                <w:rFonts w:hint="eastAsia" w:ascii="宋体" w:hAnsi="宋体" w:cs="宋体"/>
                <w:bCs/>
                <w:sz w:val="24"/>
              </w:rPr>
              <w:t>5</w:t>
            </w:r>
          </w:p>
        </w:tc>
        <w:tc>
          <w:tcPr>
            <w:tcW w:w="1944" w:type="dxa"/>
            <w:shd w:val="clear" w:color="auto" w:fill="FFFFFF"/>
            <w:noWrap w:val="0"/>
            <w:tcMar>
              <w:left w:w="108" w:type="dxa"/>
              <w:right w:w="108" w:type="dxa"/>
            </w:tcMar>
            <w:vAlign w:val="center"/>
          </w:tcPr>
          <w:p w14:paraId="40B29BA4">
            <w:pPr>
              <w:spacing w:line="440" w:lineRule="exact"/>
              <w:jc w:val="center"/>
              <w:rPr>
                <w:rFonts w:ascii="宋体" w:hAnsi="宋体" w:cs="宋体"/>
                <w:bCs/>
                <w:sz w:val="24"/>
              </w:rPr>
            </w:pPr>
            <w:r>
              <w:rPr>
                <w:rFonts w:hint="eastAsia" w:ascii="宋体" w:hAnsi="宋体" w:cs="宋体"/>
                <w:bCs/>
                <w:sz w:val="24"/>
              </w:rPr>
              <w:t>《</w:t>
            </w:r>
            <w:r>
              <w:rPr>
                <w:rFonts w:hint="eastAsia" w:ascii="宋体" w:hAnsi="宋体" w:cs="宋体"/>
                <w:bCs/>
                <w:sz w:val="24"/>
                <w:lang w:val="en-US" w:eastAsia="zh-CN"/>
              </w:rPr>
              <w:t>快乐的舞蹈</w:t>
            </w:r>
            <w:r>
              <w:rPr>
                <w:rFonts w:hint="eastAsia" w:ascii="宋体" w:hAnsi="宋体" w:cs="宋体"/>
                <w:bCs/>
                <w:sz w:val="24"/>
              </w:rPr>
              <w:t>》</w:t>
            </w:r>
          </w:p>
        </w:tc>
        <w:tc>
          <w:tcPr>
            <w:tcW w:w="2970" w:type="dxa"/>
            <w:shd w:val="clear" w:color="auto" w:fill="FFFFFF"/>
            <w:noWrap w:val="0"/>
            <w:tcMar>
              <w:left w:w="108" w:type="dxa"/>
              <w:right w:w="108" w:type="dxa"/>
            </w:tcMar>
            <w:vAlign w:val="top"/>
          </w:tcPr>
          <w:p w14:paraId="6AE6150A">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通过聆听中外舞曲，感受不同舞曲的节奏特点，培养音乐节奏感知力。</w:t>
            </w:r>
          </w:p>
          <w:p w14:paraId="5FFC114A">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认识乐器“单簧管”，巩固音阶 1 2 3 4 5 6 7 i，提升音乐认知储备。</w:t>
            </w:r>
          </w:p>
          <w:p w14:paraId="3465E800">
            <w:pPr>
              <w:numPr>
                <w:ilvl w:val="0"/>
                <w:numId w:val="5"/>
              </w:numPr>
              <w:spacing w:line="440" w:lineRule="exact"/>
              <w:jc w:val="left"/>
              <w:rPr>
                <w:rFonts w:hint="default" w:ascii="宋体" w:hAnsi="宋体" w:cs="宋体"/>
                <w:bCs/>
                <w:sz w:val="24"/>
                <w:lang w:val="en-US" w:eastAsia="zh-CN"/>
              </w:rPr>
            </w:pPr>
            <w:r>
              <w:rPr>
                <w:rFonts w:hint="eastAsia" w:ascii="宋体" w:hAnsi="宋体" w:cs="宋体"/>
                <w:bCs/>
                <w:sz w:val="24"/>
                <w:lang w:val="en-US" w:eastAsia="zh-CN"/>
              </w:rPr>
              <w:t>通过学唱舞曲风格歌曲与音乐游戏，提升肢体与音乐的配合能力和表现力。</w:t>
            </w:r>
          </w:p>
        </w:tc>
        <w:tc>
          <w:tcPr>
            <w:tcW w:w="2462" w:type="dxa"/>
            <w:shd w:val="clear" w:color="auto" w:fill="FFFFFF"/>
            <w:noWrap w:val="0"/>
            <w:tcMar>
              <w:left w:w="108" w:type="dxa"/>
              <w:right w:w="108" w:type="dxa"/>
            </w:tcMar>
            <w:vAlign w:val="center"/>
          </w:tcPr>
          <w:p w14:paraId="7E7FAA07">
            <w:pPr>
              <w:spacing w:line="440" w:lineRule="exact"/>
              <w:jc w:val="left"/>
              <w:rPr>
                <w:rFonts w:hint="eastAsia" w:ascii="宋体" w:hAnsi="宋体" w:eastAsia="宋体" w:cs="宋体"/>
                <w:bCs/>
                <w:sz w:val="24"/>
                <w:lang w:eastAsia="zh-CN"/>
              </w:rPr>
            </w:pPr>
            <w:r>
              <w:rPr>
                <w:rFonts w:hint="eastAsia" w:ascii="宋体" w:hAnsi="宋体"/>
                <w:color w:val="000000"/>
                <w:sz w:val="24"/>
              </w:rPr>
              <w:t>唱歌：《新疆是个好地方》《金孔雀轻轻跳》聆听：《单簧管波尔卡》《加伏特舞曲》《霍拉舞曲》</w:t>
            </w:r>
          </w:p>
        </w:tc>
        <w:tc>
          <w:tcPr>
            <w:tcW w:w="857" w:type="dxa"/>
            <w:shd w:val="clear" w:color="auto" w:fill="FFFFFF"/>
            <w:noWrap w:val="0"/>
            <w:tcMar>
              <w:left w:w="108" w:type="dxa"/>
              <w:right w:w="108" w:type="dxa"/>
            </w:tcMar>
            <w:vAlign w:val="center"/>
          </w:tcPr>
          <w:p w14:paraId="4AB4D73D">
            <w:pPr>
              <w:spacing w:line="440" w:lineRule="exact"/>
              <w:jc w:val="center"/>
              <w:rPr>
                <w:rFonts w:hint="eastAsia" w:ascii="宋体" w:hAnsi="宋体" w:eastAsia="宋体" w:cs="宋体"/>
                <w:bCs/>
                <w:sz w:val="24"/>
                <w:lang w:eastAsia="zh-CN"/>
              </w:rPr>
            </w:pPr>
            <w:r>
              <w:rPr>
                <w:rFonts w:hint="eastAsia" w:ascii="宋体" w:hAnsi="宋体" w:cs="宋体"/>
                <w:bCs/>
                <w:sz w:val="24"/>
                <w:lang w:val="en-US" w:eastAsia="zh-CN"/>
              </w:rPr>
              <w:t>5</w:t>
            </w:r>
          </w:p>
        </w:tc>
      </w:tr>
      <w:tr w14:paraId="1362A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914" w:type="dxa"/>
            <w:shd w:val="clear" w:color="auto" w:fill="FFFFFF"/>
            <w:noWrap w:val="0"/>
            <w:tcMar>
              <w:left w:w="108" w:type="dxa"/>
              <w:right w:w="108" w:type="dxa"/>
            </w:tcMar>
            <w:vAlign w:val="center"/>
          </w:tcPr>
          <w:p w14:paraId="6B4525BA">
            <w:pPr>
              <w:spacing w:line="440" w:lineRule="exact"/>
              <w:jc w:val="center"/>
              <w:rPr>
                <w:rFonts w:hint="eastAsia" w:ascii="宋体" w:hAnsi="宋体" w:eastAsia="宋体" w:cs="宋体"/>
                <w:bCs/>
                <w:sz w:val="24"/>
                <w:lang w:val="en-US" w:eastAsia="zh-CN"/>
              </w:rPr>
            </w:pPr>
            <w:r>
              <w:rPr>
                <w:rFonts w:hint="eastAsia" w:ascii="宋体" w:hAnsi="宋体" w:cs="宋体"/>
                <w:bCs/>
                <w:sz w:val="24"/>
                <w:lang w:val="en-US" w:eastAsia="zh-CN"/>
              </w:rPr>
              <w:t>6</w:t>
            </w:r>
          </w:p>
        </w:tc>
        <w:tc>
          <w:tcPr>
            <w:tcW w:w="1944" w:type="dxa"/>
            <w:shd w:val="clear" w:color="auto" w:fill="FFFFFF"/>
            <w:noWrap w:val="0"/>
            <w:tcMar>
              <w:left w:w="108" w:type="dxa"/>
              <w:right w:w="108" w:type="dxa"/>
            </w:tcMar>
            <w:vAlign w:val="center"/>
          </w:tcPr>
          <w:p w14:paraId="4402EB47">
            <w:pPr>
              <w:spacing w:line="440" w:lineRule="exact"/>
              <w:jc w:val="center"/>
              <w:rPr>
                <w:rFonts w:hint="eastAsia" w:ascii="宋体" w:hAnsi="宋体" w:eastAsia="宋体" w:cs="宋体"/>
                <w:bCs/>
                <w:sz w:val="24"/>
                <w:lang w:eastAsia="zh-CN"/>
              </w:rPr>
            </w:pPr>
            <w:r>
              <w:rPr>
                <w:rFonts w:hint="eastAsia" w:ascii="宋体" w:hAnsi="宋体" w:cs="宋体"/>
                <w:bCs/>
                <w:sz w:val="24"/>
                <w:lang w:eastAsia="zh-CN"/>
              </w:rPr>
              <w:t>《</w:t>
            </w:r>
            <w:r>
              <w:rPr>
                <w:rFonts w:hint="eastAsia" w:ascii="宋体" w:hAnsi="宋体" w:cs="宋体"/>
                <w:bCs/>
                <w:sz w:val="24"/>
              </w:rPr>
              <w:t>龙里格龙</w:t>
            </w:r>
            <w:r>
              <w:rPr>
                <w:rFonts w:hint="eastAsia" w:ascii="宋体" w:hAnsi="宋体" w:cs="宋体"/>
                <w:bCs/>
                <w:sz w:val="24"/>
                <w:lang w:eastAsia="zh-CN"/>
              </w:rPr>
              <w:t>》</w:t>
            </w:r>
          </w:p>
        </w:tc>
        <w:tc>
          <w:tcPr>
            <w:tcW w:w="2970" w:type="dxa"/>
            <w:shd w:val="clear" w:color="auto" w:fill="FFFFFF"/>
            <w:noWrap w:val="0"/>
            <w:tcMar>
              <w:left w:w="108" w:type="dxa"/>
              <w:right w:w="108" w:type="dxa"/>
            </w:tcMar>
            <w:vAlign w:val="top"/>
          </w:tcPr>
          <w:p w14:paraId="20FEE6B7">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通过学唱京剧传统戏，初步感受京剧的韵味与魅力，了解京剧的念白（京白）特点。</w:t>
            </w:r>
          </w:p>
          <w:p w14:paraId="57CC214C">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通过“敲锣打鼓”的演奏实践，掌握打击乐器的基本演奏方法，提升节奏感。</w:t>
            </w:r>
          </w:p>
          <w:p w14:paraId="762B5001">
            <w:pPr>
              <w:numPr>
                <w:ilvl w:val="0"/>
                <w:numId w:val="6"/>
              </w:numPr>
              <w:spacing w:line="440" w:lineRule="exact"/>
              <w:jc w:val="left"/>
              <w:rPr>
                <w:rFonts w:hint="eastAsia" w:ascii="宋体" w:hAnsi="宋体" w:cs="宋体"/>
                <w:bCs/>
                <w:sz w:val="24"/>
                <w:lang w:val="en-US" w:eastAsia="zh-CN"/>
              </w:rPr>
            </w:pPr>
            <w:r>
              <w:rPr>
                <w:rFonts w:hint="eastAsia" w:ascii="宋体" w:hAnsi="宋体" w:cs="宋体"/>
                <w:bCs/>
                <w:sz w:val="24"/>
                <w:lang w:val="en-US" w:eastAsia="zh-CN"/>
              </w:rPr>
              <w:t>通过聆听与表演，激发对传统戏曲文化的兴趣，增强文化自信。</w:t>
            </w:r>
          </w:p>
        </w:tc>
        <w:tc>
          <w:tcPr>
            <w:tcW w:w="2462" w:type="dxa"/>
            <w:shd w:val="clear" w:color="auto" w:fill="FFFFFF"/>
            <w:noWrap w:val="0"/>
            <w:tcMar>
              <w:left w:w="108" w:type="dxa"/>
              <w:right w:w="108" w:type="dxa"/>
            </w:tcMar>
            <w:vAlign w:val="center"/>
          </w:tcPr>
          <w:p w14:paraId="35C1E892">
            <w:pPr>
              <w:spacing w:line="440" w:lineRule="exact"/>
              <w:jc w:val="left"/>
              <w:rPr>
                <w:rFonts w:hint="eastAsia" w:ascii="宋体" w:hAnsi="宋体"/>
                <w:color w:val="000000"/>
                <w:sz w:val="24"/>
              </w:rPr>
            </w:pPr>
            <w:r>
              <w:rPr>
                <w:rFonts w:hint="eastAsia" w:ascii="宋体" w:hAnsi="宋体"/>
                <w:color w:val="000000"/>
                <w:sz w:val="24"/>
              </w:rPr>
              <w:t>唱歌：《表花》《报灯名》</w:t>
            </w:r>
          </w:p>
          <w:p w14:paraId="39EA23CD">
            <w:pPr>
              <w:spacing w:line="440" w:lineRule="exact"/>
              <w:jc w:val="left"/>
              <w:rPr>
                <w:rFonts w:hint="eastAsia" w:ascii="宋体" w:hAnsi="宋体"/>
                <w:color w:val="000000"/>
                <w:sz w:val="24"/>
              </w:rPr>
            </w:pPr>
            <w:r>
              <w:rPr>
                <w:rFonts w:hint="eastAsia" w:ascii="宋体" w:hAnsi="宋体"/>
                <w:color w:val="000000"/>
                <w:sz w:val="24"/>
              </w:rPr>
              <w:t>聆听：《龙里格龙》《大闹天宫》</w:t>
            </w:r>
          </w:p>
        </w:tc>
        <w:tc>
          <w:tcPr>
            <w:tcW w:w="857" w:type="dxa"/>
            <w:shd w:val="clear" w:color="auto" w:fill="FFFFFF"/>
            <w:noWrap w:val="0"/>
            <w:tcMar>
              <w:left w:w="108" w:type="dxa"/>
              <w:right w:w="108" w:type="dxa"/>
            </w:tcMar>
            <w:vAlign w:val="center"/>
          </w:tcPr>
          <w:p w14:paraId="19A45EF9">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4</w:t>
            </w:r>
          </w:p>
        </w:tc>
      </w:tr>
      <w:tr w14:paraId="4DE1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914" w:type="dxa"/>
            <w:shd w:val="clear" w:color="auto" w:fill="FFFFFF"/>
            <w:noWrap w:val="0"/>
            <w:tcMar>
              <w:left w:w="108" w:type="dxa"/>
              <w:right w:w="108" w:type="dxa"/>
            </w:tcMar>
            <w:vAlign w:val="center"/>
          </w:tcPr>
          <w:p w14:paraId="1B52BE0C">
            <w:pPr>
              <w:spacing w:line="440" w:lineRule="exact"/>
              <w:rPr>
                <w:rFonts w:ascii="宋体" w:hAnsi="宋体" w:cs="宋体"/>
                <w:bCs/>
                <w:sz w:val="24"/>
              </w:rPr>
            </w:pPr>
            <w:r>
              <w:rPr>
                <w:rFonts w:hint="eastAsia" w:ascii="宋体" w:hAnsi="宋体" w:cs="宋体"/>
                <w:bCs/>
                <w:sz w:val="24"/>
              </w:rPr>
              <w:t> </w:t>
            </w:r>
          </w:p>
        </w:tc>
        <w:tc>
          <w:tcPr>
            <w:tcW w:w="7376" w:type="dxa"/>
            <w:gridSpan w:val="3"/>
            <w:shd w:val="clear" w:color="auto" w:fill="FFFFFF"/>
            <w:noWrap w:val="0"/>
            <w:tcMar>
              <w:left w:w="108" w:type="dxa"/>
              <w:right w:w="108" w:type="dxa"/>
            </w:tcMar>
            <w:vAlign w:val="center"/>
          </w:tcPr>
          <w:p w14:paraId="4E260367">
            <w:pPr>
              <w:spacing w:line="440" w:lineRule="exact"/>
              <w:ind w:firstLine="480" w:firstLineChars="200"/>
              <w:rPr>
                <w:rFonts w:ascii="宋体" w:hAnsi="宋体" w:cs="宋体"/>
                <w:bCs/>
                <w:sz w:val="24"/>
              </w:rPr>
            </w:pPr>
            <w:r>
              <w:rPr>
                <w:rFonts w:hint="eastAsia" w:ascii="宋体" w:hAnsi="宋体" w:cs="宋体"/>
                <w:bCs/>
                <w:sz w:val="24"/>
              </w:rPr>
              <w:t>期末复习考试</w:t>
            </w:r>
          </w:p>
        </w:tc>
        <w:tc>
          <w:tcPr>
            <w:tcW w:w="857" w:type="dxa"/>
            <w:shd w:val="clear" w:color="auto" w:fill="FFFFFF"/>
            <w:noWrap w:val="0"/>
            <w:tcMar>
              <w:left w:w="108" w:type="dxa"/>
              <w:right w:w="108" w:type="dxa"/>
            </w:tcMar>
            <w:vAlign w:val="center"/>
          </w:tcPr>
          <w:p w14:paraId="2422ECFA">
            <w:pPr>
              <w:spacing w:line="440" w:lineRule="exact"/>
              <w:jc w:val="center"/>
              <w:rPr>
                <w:rFonts w:hint="default" w:ascii="宋体" w:hAnsi="宋体" w:eastAsia="宋体" w:cs="宋体"/>
                <w:bCs/>
                <w:sz w:val="24"/>
                <w:lang w:val="en-US" w:eastAsia="zh-CN"/>
              </w:rPr>
            </w:pPr>
            <w:r>
              <w:rPr>
                <w:rFonts w:hint="eastAsia" w:ascii="宋体" w:hAnsi="宋体" w:cs="宋体"/>
                <w:bCs/>
                <w:sz w:val="24"/>
                <w:lang w:val="en-US" w:eastAsia="zh-CN"/>
              </w:rPr>
              <w:t>3</w:t>
            </w:r>
          </w:p>
        </w:tc>
      </w:tr>
      <w:bookmarkEnd w:id="0"/>
    </w:tbl>
    <w:p w14:paraId="5E9BEC13">
      <w:pPr>
        <w:spacing w:line="440" w:lineRule="exact"/>
        <w:rPr>
          <w:rFonts w:ascii="宋体" w:hAnsi="宋体"/>
          <w:bCs/>
          <w:color w:val="000000"/>
          <w:sz w:val="24"/>
        </w:rPr>
      </w:pPr>
    </w:p>
    <w:p w14:paraId="1B9C69A1">
      <w:pPr>
        <w:spacing w:line="440" w:lineRule="exact"/>
        <w:rPr>
          <w:rFonts w:hint="eastAsia"/>
          <w:b/>
          <w:bCs w:val="0"/>
          <w:color w:val="000000"/>
          <w:sz w:val="24"/>
        </w:rPr>
      </w:pPr>
      <w:r>
        <w:rPr>
          <w:rFonts w:hint="eastAsia" w:ascii="宋体" w:hAnsi="宋体"/>
          <w:b/>
          <w:bCs w:val="0"/>
          <w:color w:val="000000"/>
          <w:sz w:val="24"/>
        </w:rPr>
        <w:t>【</w:t>
      </w:r>
      <w:r>
        <w:rPr>
          <w:rFonts w:hint="eastAsia" w:ascii="宋体" w:hAnsi="宋体"/>
          <w:b/>
          <w:bCs w:val="0"/>
          <w:color w:val="000000"/>
          <w:sz w:val="24"/>
          <w:lang w:val="en-US" w:eastAsia="zh-CN"/>
        </w:rPr>
        <w:t>课程</w:t>
      </w:r>
      <w:r>
        <w:rPr>
          <w:rFonts w:hint="eastAsia"/>
          <w:b/>
          <w:bCs w:val="0"/>
          <w:color w:val="000000"/>
          <w:sz w:val="24"/>
        </w:rPr>
        <w:t>实施</w:t>
      </w:r>
      <w:r>
        <w:rPr>
          <w:rFonts w:hint="eastAsia" w:ascii="宋体" w:hAnsi="宋体"/>
          <w:b/>
          <w:bCs w:val="0"/>
          <w:color w:val="000000"/>
          <w:sz w:val="24"/>
        </w:rPr>
        <w:t>】</w:t>
      </w:r>
    </w:p>
    <w:p w14:paraId="04A64E90">
      <w:pPr>
        <w:spacing w:line="440" w:lineRule="exact"/>
        <w:rPr>
          <w:rFonts w:hint="eastAsia"/>
          <w:bCs/>
          <w:color w:val="000000"/>
          <w:sz w:val="24"/>
        </w:rPr>
      </w:pPr>
      <w:r>
        <w:rPr>
          <w:rFonts w:hint="eastAsia"/>
          <w:bCs/>
          <w:color w:val="000000"/>
          <w:sz w:val="24"/>
        </w:rPr>
        <w:t>（一）课程资源</w:t>
      </w:r>
    </w:p>
    <w:p w14:paraId="50272A35">
      <w:pPr>
        <w:spacing w:line="440" w:lineRule="exact"/>
        <w:rPr>
          <w:rFonts w:hint="eastAsia"/>
          <w:bCs/>
          <w:color w:val="000000"/>
          <w:sz w:val="24"/>
        </w:rPr>
      </w:pPr>
      <w:r>
        <w:rPr>
          <w:rFonts w:hint="eastAsia"/>
          <w:bCs/>
          <w:color w:val="000000"/>
          <w:sz w:val="24"/>
        </w:rPr>
        <w:t>1、人民音乐出版社小学二年级第四册《音乐》教材。</w:t>
      </w:r>
    </w:p>
    <w:p w14:paraId="22D25F51">
      <w:pPr>
        <w:spacing w:line="440" w:lineRule="exact"/>
        <w:rPr>
          <w:rFonts w:hint="eastAsia"/>
          <w:bCs/>
          <w:color w:val="000000"/>
          <w:sz w:val="24"/>
        </w:rPr>
      </w:pPr>
      <w:r>
        <w:rPr>
          <w:rFonts w:hint="eastAsia"/>
          <w:bCs/>
          <w:color w:val="000000"/>
          <w:sz w:val="24"/>
        </w:rPr>
        <w:t>2、《音乐鉴》教材所配套的音响资料。</w:t>
      </w:r>
    </w:p>
    <w:p w14:paraId="08D16E38">
      <w:pPr>
        <w:spacing w:line="440" w:lineRule="exact"/>
        <w:rPr>
          <w:rFonts w:hint="eastAsia"/>
          <w:bCs/>
          <w:color w:val="000000"/>
          <w:sz w:val="24"/>
        </w:rPr>
      </w:pPr>
      <w:r>
        <w:rPr>
          <w:rFonts w:hint="eastAsia"/>
          <w:bCs/>
          <w:color w:val="000000"/>
          <w:sz w:val="24"/>
        </w:rPr>
        <w:t>3、网络音乐资源。</w:t>
      </w:r>
    </w:p>
    <w:p w14:paraId="7CAA2185">
      <w:pPr>
        <w:spacing w:line="440" w:lineRule="exact"/>
        <w:rPr>
          <w:rFonts w:hint="eastAsia"/>
          <w:bCs/>
          <w:color w:val="000000"/>
          <w:sz w:val="24"/>
        </w:rPr>
      </w:pPr>
      <w:r>
        <w:rPr>
          <w:rFonts w:hint="eastAsia"/>
          <w:bCs/>
          <w:color w:val="000000"/>
          <w:sz w:val="24"/>
        </w:rPr>
        <w:t>（二）实施手段</w:t>
      </w:r>
    </w:p>
    <w:p w14:paraId="546449F3">
      <w:pPr>
        <w:spacing w:line="440" w:lineRule="exact"/>
        <w:rPr>
          <w:rFonts w:hint="eastAsia"/>
          <w:bCs/>
          <w:color w:val="000000"/>
          <w:sz w:val="24"/>
        </w:rPr>
      </w:pPr>
      <w:r>
        <w:rPr>
          <w:rFonts w:hint="eastAsia"/>
          <w:bCs/>
          <w:color w:val="000000"/>
          <w:sz w:val="24"/>
        </w:rPr>
        <w:t>1、</w:t>
      </w:r>
      <w:r>
        <w:rPr>
          <w:rFonts w:hint="eastAsia"/>
          <w:bCs/>
          <w:color w:val="000000"/>
          <w:sz w:val="24"/>
        </w:rPr>
        <w:tab/>
      </w:r>
      <w:r>
        <w:rPr>
          <w:rFonts w:hint="eastAsia"/>
          <w:bCs/>
          <w:color w:val="000000"/>
          <w:sz w:val="24"/>
        </w:rPr>
        <w:t>整合教材，精心进行教学设计。</w:t>
      </w:r>
    </w:p>
    <w:p w14:paraId="36EC7692">
      <w:pPr>
        <w:spacing w:line="440" w:lineRule="exact"/>
        <w:rPr>
          <w:rFonts w:hint="eastAsia"/>
          <w:bCs/>
          <w:color w:val="000000"/>
          <w:sz w:val="24"/>
        </w:rPr>
      </w:pPr>
      <w:r>
        <w:rPr>
          <w:rFonts w:hint="eastAsia"/>
          <w:bCs/>
          <w:color w:val="000000"/>
          <w:sz w:val="24"/>
        </w:rPr>
        <w:t>2、</w:t>
      </w:r>
      <w:r>
        <w:rPr>
          <w:rFonts w:hint="eastAsia"/>
          <w:bCs/>
          <w:color w:val="000000"/>
          <w:sz w:val="24"/>
        </w:rPr>
        <w:tab/>
      </w:r>
      <w:r>
        <w:rPr>
          <w:rFonts w:hint="eastAsia"/>
          <w:bCs/>
          <w:color w:val="000000"/>
          <w:sz w:val="24"/>
        </w:rPr>
        <w:t>利用教室钢琴音响投影等设备辅助教学。</w:t>
      </w:r>
    </w:p>
    <w:p w14:paraId="67144677">
      <w:pPr>
        <w:spacing w:line="440" w:lineRule="exact"/>
        <w:rPr>
          <w:rFonts w:hint="eastAsia"/>
          <w:bCs/>
          <w:color w:val="000000"/>
          <w:sz w:val="24"/>
        </w:rPr>
      </w:pPr>
      <w:r>
        <w:rPr>
          <w:rFonts w:hint="eastAsia"/>
          <w:bCs/>
          <w:color w:val="000000"/>
          <w:sz w:val="24"/>
        </w:rPr>
        <w:t>（三）学习方法</w:t>
      </w:r>
    </w:p>
    <w:p w14:paraId="3756FE4F">
      <w:pPr>
        <w:spacing w:line="440" w:lineRule="exact"/>
        <w:rPr>
          <w:rFonts w:hint="eastAsia"/>
          <w:bCs/>
          <w:color w:val="000000"/>
          <w:sz w:val="24"/>
        </w:rPr>
      </w:pPr>
      <w:r>
        <w:rPr>
          <w:rFonts w:hint="eastAsia"/>
          <w:bCs/>
          <w:color w:val="000000"/>
          <w:sz w:val="24"/>
        </w:rPr>
        <w:t>感受与鉴赏是音乐教学的重要内容，是培养学生音乐感受能力和审美能力的有效途径。这一部分内容的教学应注意以音乐为本，从音响出发，以听赏为主。教师的讲解、提示，力求简明、生动，富有启发性。应采用多种形式引导学生积极参与音乐体验，引发想象和联想。要尊重学生的独立感受与见解，鼓励学生勇于表述自己的审美体验，以利于激发学生欣赏音乐的兴趣，逐步养成聆听音乐的良好习惯，积累感受与鉴赏音乐的经验。</w:t>
      </w:r>
    </w:p>
    <w:p w14:paraId="08BEE81A">
      <w:pPr>
        <w:spacing w:line="440" w:lineRule="exact"/>
        <w:rPr>
          <w:rFonts w:hint="eastAsia"/>
          <w:bCs/>
          <w:color w:val="000000"/>
          <w:sz w:val="24"/>
        </w:rPr>
      </w:pPr>
      <w:r>
        <w:rPr>
          <w:rFonts w:hint="eastAsia"/>
          <w:bCs/>
          <w:color w:val="000000"/>
          <w:sz w:val="24"/>
        </w:rPr>
        <w:t>演唱歌曲是中小学音乐教学的基本内容，也是学生最易于接受和乐于参与的表现形式。歌唱技能的练习，应结合演唱实践活动进行。创设与歌曲表现内容相适应的教学情景，激发学生富有情感地歌唱，以情带声，声情并茂。重视和加强合唱引导，使学生感受多声部音乐的丰富表现力，尽早建立与他人合作演唱的经验，培养群体意识及协调、合作能力。合唱教学可从轮唱开始，唱歌教学要注意调动每一个学生参与的积极性，培养演唱的自信心，使他们在歌唱表现中享受到美的愉悦，受到美的熏陶。</w:t>
      </w:r>
    </w:p>
    <w:p w14:paraId="2799BBC1">
      <w:pPr>
        <w:spacing w:line="440" w:lineRule="exact"/>
        <w:rPr>
          <w:rFonts w:ascii="宋体" w:hAnsi="宋体"/>
          <w:bCs/>
          <w:color w:val="000000"/>
          <w:sz w:val="24"/>
        </w:rPr>
      </w:pPr>
      <w:r>
        <w:rPr>
          <w:rFonts w:hint="eastAsia"/>
          <w:bCs/>
          <w:color w:val="000000"/>
          <w:sz w:val="24"/>
        </w:rPr>
        <w:t>继续学习各种打击乐器的演奏方法。要求学生配合音乐，跟老师示范，在技能训练上，注意培养学生的音乐感知力。</w:t>
      </w:r>
    </w:p>
    <w:p w14:paraId="0D2B430F">
      <w:pPr>
        <w:spacing w:line="440" w:lineRule="exact"/>
        <w:rPr>
          <w:b/>
          <w:bCs w:val="0"/>
          <w:color w:val="000000"/>
          <w:sz w:val="24"/>
        </w:rPr>
      </w:pPr>
      <w:r>
        <w:rPr>
          <w:rFonts w:hint="eastAsia" w:ascii="宋体" w:hAnsi="宋体"/>
          <w:b/>
          <w:bCs w:val="0"/>
          <w:color w:val="000000"/>
          <w:sz w:val="24"/>
        </w:rPr>
        <w:t>【</w:t>
      </w:r>
      <w:r>
        <w:rPr>
          <w:rFonts w:hint="eastAsia"/>
          <w:b/>
          <w:bCs w:val="0"/>
          <w:color w:val="000000"/>
          <w:sz w:val="24"/>
        </w:rPr>
        <w:t>评价</w:t>
      </w:r>
      <w:r>
        <w:rPr>
          <w:rFonts w:hint="eastAsia" w:ascii="宋体" w:hAnsi="宋体"/>
          <w:b/>
          <w:bCs w:val="0"/>
          <w:color w:val="000000"/>
          <w:sz w:val="24"/>
        </w:rPr>
        <w:t>】</w:t>
      </w:r>
    </w:p>
    <w:p w14:paraId="10F1823D">
      <w:pPr>
        <w:spacing w:line="440" w:lineRule="exact"/>
        <w:rPr>
          <w:rFonts w:hint="eastAsia"/>
          <w:bCs/>
          <w:color w:val="000000"/>
          <w:sz w:val="24"/>
        </w:rPr>
      </w:pPr>
      <w:r>
        <w:rPr>
          <w:rFonts w:hint="eastAsia"/>
          <w:bCs/>
          <w:sz w:val="24"/>
        </w:rPr>
        <w:t>成绩以百分制呈现，由两部分组成：过程性评价（40分）、终结性评价（60分）。</w:t>
      </w:r>
    </w:p>
    <w:p w14:paraId="038EA845">
      <w:pPr>
        <w:numPr>
          <w:ilvl w:val="0"/>
          <w:numId w:val="7"/>
        </w:numPr>
        <w:spacing w:line="440" w:lineRule="exact"/>
        <w:rPr>
          <w:rFonts w:hint="eastAsia"/>
        </w:rPr>
      </w:pPr>
      <w:r>
        <w:rPr>
          <w:rFonts w:hint="eastAsia"/>
          <w:bCs/>
          <w:color w:val="000000"/>
          <w:sz w:val="24"/>
        </w:rPr>
        <w:t>过程性评价成绩（40分）=课堂表现（20分）+课后任务（10分）+过程测试成绩（10分）</w:t>
      </w:r>
    </w:p>
    <w:tbl>
      <w:tblPr>
        <w:tblStyle w:val="6"/>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1467"/>
        <w:gridCol w:w="1202"/>
        <w:gridCol w:w="2855"/>
        <w:gridCol w:w="3457"/>
      </w:tblGrid>
      <w:tr w14:paraId="7B914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shd w:val="clear" w:color="auto" w:fill="FFFFFF"/>
            <w:noWrap w:val="0"/>
            <w:tcMar>
              <w:left w:w="108" w:type="dxa"/>
              <w:right w:w="108" w:type="dxa"/>
            </w:tcMar>
            <w:vAlign w:val="top"/>
          </w:tcPr>
          <w:p w14:paraId="2542066A">
            <w:pPr>
              <w:spacing w:line="440" w:lineRule="exact"/>
              <w:jc w:val="center"/>
              <w:rPr>
                <w:rFonts w:hint="eastAsia" w:ascii="宋体" w:hAnsi="宋体" w:cs="宋体"/>
                <w:bCs/>
                <w:sz w:val="24"/>
              </w:rPr>
            </w:pPr>
            <w:r>
              <w:rPr>
                <w:rFonts w:hint="eastAsia" w:ascii="宋体" w:hAnsi="宋体" w:cs="宋体"/>
                <w:bCs/>
                <w:sz w:val="24"/>
              </w:rPr>
              <w:t>评价项目</w:t>
            </w:r>
          </w:p>
        </w:tc>
        <w:tc>
          <w:tcPr>
            <w:tcW w:w="2855" w:type="dxa"/>
            <w:shd w:val="clear" w:color="auto" w:fill="FFFFFF"/>
            <w:noWrap w:val="0"/>
            <w:tcMar>
              <w:left w:w="108" w:type="dxa"/>
              <w:right w:w="108" w:type="dxa"/>
            </w:tcMar>
            <w:vAlign w:val="top"/>
          </w:tcPr>
          <w:p w14:paraId="137C42C9">
            <w:pPr>
              <w:spacing w:line="440" w:lineRule="exact"/>
              <w:jc w:val="center"/>
              <w:rPr>
                <w:rFonts w:ascii="宋体" w:hAnsi="宋体" w:cs="宋体"/>
                <w:bCs/>
                <w:sz w:val="24"/>
              </w:rPr>
            </w:pPr>
            <w:r>
              <w:rPr>
                <w:rFonts w:hint="eastAsia" w:ascii="宋体" w:hAnsi="宋体" w:cs="宋体"/>
                <w:bCs/>
                <w:sz w:val="24"/>
              </w:rPr>
              <w:t>评价方式和标准</w:t>
            </w:r>
          </w:p>
        </w:tc>
        <w:tc>
          <w:tcPr>
            <w:tcW w:w="3457" w:type="dxa"/>
            <w:shd w:val="clear" w:color="auto" w:fill="FFFFFF"/>
            <w:noWrap w:val="0"/>
            <w:tcMar>
              <w:left w:w="108" w:type="dxa"/>
              <w:right w:w="108" w:type="dxa"/>
            </w:tcMar>
            <w:vAlign w:val="top"/>
          </w:tcPr>
          <w:p w14:paraId="229A8F0C">
            <w:pPr>
              <w:spacing w:line="440" w:lineRule="exact"/>
              <w:jc w:val="center"/>
              <w:rPr>
                <w:rFonts w:ascii="宋体" w:hAnsi="宋体" w:cs="宋体"/>
                <w:bCs/>
                <w:sz w:val="24"/>
              </w:rPr>
            </w:pPr>
            <w:r>
              <w:rPr>
                <w:rFonts w:hint="eastAsia" w:ascii="宋体" w:hAnsi="宋体" w:cs="宋体"/>
                <w:bCs/>
                <w:sz w:val="24"/>
              </w:rPr>
              <w:t>等级</w:t>
            </w:r>
          </w:p>
        </w:tc>
      </w:tr>
      <w:tr w14:paraId="3724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2456" w:hRule="atLeast"/>
          <w:jc w:val="center"/>
        </w:trPr>
        <w:tc>
          <w:tcPr>
            <w:tcW w:w="1467" w:type="dxa"/>
            <w:vMerge w:val="restart"/>
            <w:shd w:val="clear" w:color="auto" w:fill="FFFFFF"/>
            <w:noWrap w:val="0"/>
            <w:tcMar>
              <w:left w:w="108" w:type="dxa"/>
              <w:right w:w="108" w:type="dxa"/>
            </w:tcMar>
            <w:vAlign w:val="center"/>
          </w:tcPr>
          <w:p w14:paraId="3B826F1B">
            <w:pPr>
              <w:spacing w:line="440" w:lineRule="exact"/>
              <w:rPr>
                <w:rFonts w:ascii="宋体" w:hAnsi="宋体" w:cs="宋体"/>
                <w:bCs/>
                <w:sz w:val="24"/>
              </w:rPr>
            </w:pPr>
            <w:r>
              <w:rPr>
                <w:rFonts w:hint="eastAsia"/>
                <w:bCs/>
                <w:color w:val="000000"/>
                <w:sz w:val="24"/>
              </w:rPr>
              <w:t>课堂表现</w:t>
            </w:r>
          </w:p>
        </w:tc>
        <w:tc>
          <w:tcPr>
            <w:tcW w:w="1202" w:type="dxa"/>
            <w:shd w:val="clear" w:color="auto" w:fill="FFFFFF"/>
            <w:noWrap w:val="0"/>
            <w:vAlign w:val="center"/>
          </w:tcPr>
          <w:p w14:paraId="0AA3754F">
            <w:pPr>
              <w:spacing w:line="440" w:lineRule="exact"/>
              <w:jc w:val="center"/>
              <w:rPr>
                <w:rFonts w:ascii="宋体" w:hAnsi="宋体" w:cs="宋体"/>
                <w:bCs/>
                <w:sz w:val="24"/>
              </w:rPr>
            </w:pPr>
            <w:r>
              <w:rPr>
                <w:rFonts w:hint="eastAsia" w:ascii="宋体" w:hAnsi="宋体" w:cs="宋体"/>
                <w:bCs/>
                <w:sz w:val="24"/>
              </w:rPr>
              <w:t>出勤率</w:t>
            </w:r>
          </w:p>
          <w:p w14:paraId="0E456F74">
            <w:pPr>
              <w:spacing w:line="440" w:lineRule="exact"/>
              <w:jc w:val="center"/>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14:paraId="589A6295">
            <w:pPr>
              <w:spacing w:line="440" w:lineRule="exact"/>
              <w:rPr>
                <w:rFonts w:ascii="宋体" w:hAnsi="宋体" w:cs="宋体"/>
                <w:bCs/>
                <w:sz w:val="24"/>
              </w:rPr>
            </w:pPr>
            <w:r>
              <w:rPr>
                <w:rFonts w:hint="eastAsia" w:ascii="宋体" w:hAnsi="宋体" w:cs="宋体"/>
                <w:bCs/>
                <w:sz w:val="24"/>
              </w:rPr>
              <w:t>考勤记录</w:t>
            </w:r>
          </w:p>
        </w:tc>
        <w:tc>
          <w:tcPr>
            <w:tcW w:w="3457" w:type="dxa"/>
            <w:shd w:val="clear" w:color="auto" w:fill="FFFFFF"/>
            <w:noWrap w:val="0"/>
            <w:tcMar>
              <w:left w:w="108" w:type="dxa"/>
              <w:right w:w="108" w:type="dxa"/>
            </w:tcMar>
            <w:vAlign w:val="top"/>
          </w:tcPr>
          <w:p w14:paraId="3E0A0331">
            <w:pPr>
              <w:spacing w:line="440" w:lineRule="exact"/>
              <w:rPr>
                <w:rFonts w:hint="eastAsia" w:ascii="宋体" w:hAnsi="宋体" w:cs="宋体"/>
                <w:bCs/>
                <w:sz w:val="24"/>
              </w:rPr>
            </w:pPr>
            <w:r>
              <w:rPr>
                <w:rFonts w:hint="eastAsia" w:ascii="宋体" w:hAnsi="宋体" w:cs="宋体"/>
                <w:bCs/>
                <w:sz w:val="24"/>
              </w:rPr>
              <w:t>上课出勤修满36课时者得10分；学习超过30课时但不满36课时者得7分；学习不足30课时但超过26课时者得4分；不满26课时者不得分。</w:t>
            </w:r>
          </w:p>
        </w:tc>
      </w:tr>
      <w:tr w14:paraId="47254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533" w:hRule="atLeast"/>
          <w:jc w:val="center"/>
        </w:trPr>
        <w:tc>
          <w:tcPr>
            <w:tcW w:w="1467" w:type="dxa"/>
            <w:vMerge w:val="continue"/>
            <w:shd w:val="clear" w:color="auto" w:fill="FFFFFF"/>
            <w:noWrap w:val="0"/>
            <w:tcMar>
              <w:left w:w="108" w:type="dxa"/>
              <w:right w:w="108" w:type="dxa"/>
            </w:tcMar>
            <w:vAlign w:val="center"/>
          </w:tcPr>
          <w:p w14:paraId="302964E9">
            <w:pPr>
              <w:spacing w:line="440" w:lineRule="exact"/>
              <w:jc w:val="center"/>
              <w:rPr>
                <w:rFonts w:ascii="宋体" w:hAnsi="宋体" w:cs="宋体"/>
                <w:bCs/>
                <w:sz w:val="24"/>
              </w:rPr>
            </w:pPr>
          </w:p>
        </w:tc>
        <w:tc>
          <w:tcPr>
            <w:tcW w:w="1202" w:type="dxa"/>
            <w:shd w:val="clear" w:color="auto" w:fill="FFFFFF"/>
            <w:noWrap w:val="0"/>
            <w:vAlign w:val="center"/>
          </w:tcPr>
          <w:p w14:paraId="14F3DFB8">
            <w:pPr>
              <w:spacing w:line="440" w:lineRule="exact"/>
              <w:jc w:val="center"/>
              <w:rPr>
                <w:rFonts w:ascii="宋体" w:hAnsi="宋体" w:cs="宋体"/>
                <w:bCs/>
                <w:sz w:val="24"/>
              </w:rPr>
            </w:pPr>
            <w:r>
              <w:rPr>
                <w:rFonts w:hint="eastAsia" w:ascii="宋体" w:hAnsi="宋体" w:cs="宋体"/>
                <w:bCs/>
                <w:sz w:val="24"/>
              </w:rPr>
              <w:t>学习态度</w:t>
            </w:r>
          </w:p>
          <w:p w14:paraId="3B48E0A3">
            <w:pPr>
              <w:spacing w:line="440" w:lineRule="exact"/>
              <w:jc w:val="center"/>
              <w:rPr>
                <w:rFonts w:hint="eastAsia" w:ascii="宋体" w:hAnsi="宋体" w:cs="宋体"/>
                <w:bCs/>
                <w:sz w:val="24"/>
              </w:rPr>
            </w:pPr>
            <w:r>
              <w:rPr>
                <w:rFonts w:hint="eastAsia" w:ascii="宋体" w:hAnsi="宋体" w:cs="宋体"/>
                <w:bCs/>
                <w:sz w:val="24"/>
              </w:rPr>
              <w:t>（10分）</w:t>
            </w:r>
          </w:p>
        </w:tc>
        <w:tc>
          <w:tcPr>
            <w:tcW w:w="2855" w:type="dxa"/>
            <w:shd w:val="clear" w:color="auto" w:fill="FFFFFF"/>
            <w:noWrap w:val="0"/>
            <w:tcMar>
              <w:left w:w="108" w:type="dxa"/>
              <w:right w:w="108" w:type="dxa"/>
            </w:tcMar>
            <w:vAlign w:val="center"/>
          </w:tcPr>
          <w:p w14:paraId="3FFD8CBF">
            <w:pPr>
              <w:spacing w:line="440" w:lineRule="exact"/>
              <w:rPr>
                <w:rFonts w:ascii="宋体" w:hAnsi="宋体" w:cs="宋体"/>
                <w:bCs/>
                <w:sz w:val="24"/>
              </w:rPr>
            </w:pPr>
            <w:r>
              <w:rPr>
                <w:rFonts w:hint="eastAsia" w:ascii="宋体" w:hAnsi="宋体" w:cs="宋体"/>
                <w:bCs/>
                <w:sz w:val="24"/>
              </w:rPr>
              <w:t>主动回答问题3分，主动展示3分，帮助同学4分</w:t>
            </w:r>
          </w:p>
        </w:tc>
        <w:tc>
          <w:tcPr>
            <w:tcW w:w="3457" w:type="dxa"/>
            <w:shd w:val="clear" w:color="auto" w:fill="FFFFFF"/>
            <w:noWrap w:val="0"/>
            <w:tcMar>
              <w:left w:w="108" w:type="dxa"/>
              <w:right w:w="108" w:type="dxa"/>
            </w:tcMar>
            <w:vAlign w:val="top"/>
          </w:tcPr>
          <w:p w14:paraId="63847F4D">
            <w:pPr>
              <w:spacing w:line="440" w:lineRule="exact"/>
              <w:rPr>
                <w:rFonts w:ascii="宋体" w:hAnsi="宋体" w:cs="宋体"/>
                <w:bCs/>
                <w:sz w:val="24"/>
              </w:rPr>
            </w:pPr>
            <w:r>
              <w:rPr>
                <w:rFonts w:hint="eastAsia" w:ascii="宋体" w:hAnsi="宋体" w:cs="宋体"/>
                <w:bCs/>
                <w:sz w:val="24"/>
              </w:rPr>
              <w:t>优秀（10分）</w:t>
            </w:r>
          </w:p>
          <w:p w14:paraId="310CF0E6">
            <w:pPr>
              <w:spacing w:line="440" w:lineRule="exact"/>
              <w:rPr>
                <w:rFonts w:ascii="宋体" w:hAnsi="宋体" w:cs="宋体"/>
                <w:bCs/>
                <w:sz w:val="24"/>
              </w:rPr>
            </w:pPr>
            <w:r>
              <w:rPr>
                <w:rFonts w:hint="eastAsia" w:ascii="宋体" w:hAnsi="宋体" w:cs="宋体"/>
                <w:bCs/>
                <w:sz w:val="24"/>
              </w:rPr>
              <w:t>良好（8～9分）</w:t>
            </w:r>
          </w:p>
          <w:p w14:paraId="5EAFBDB4">
            <w:pPr>
              <w:spacing w:line="440" w:lineRule="exact"/>
              <w:rPr>
                <w:rFonts w:ascii="宋体" w:hAnsi="宋体" w:cs="宋体"/>
                <w:bCs/>
                <w:sz w:val="24"/>
              </w:rPr>
            </w:pPr>
            <w:r>
              <w:rPr>
                <w:rFonts w:hint="eastAsia" w:ascii="宋体" w:hAnsi="宋体" w:cs="宋体"/>
                <w:bCs/>
                <w:sz w:val="24"/>
              </w:rPr>
              <w:t>合格（6～7分）</w:t>
            </w:r>
          </w:p>
          <w:p w14:paraId="7C749A1A">
            <w:pPr>
              <w:spacing w:line="440" w:lineRule="exact"/>
              <w:rPr>
                <w:rFonts w:hint="eastAsia" w:ascii="宋体" w:hAnsi="宋体" w:cs="宋体"/>
                <w:bCs/>
                <w:sz w:val="24"/>
              </w:rPr>
            </w:pPr>
            <w:r>
              <w:rPr>
                <w:rFonts w:hint="eastAsia" w:ascii="宋体" w:hAnsi="宋体" w:cs="宋体"/>
                <w:bCs/>
                <w:sz w:val="24"/>
              </w:rPr>
              <w:t>不合格（6分以下）</w:t>
            </w:r>
          </w:p>
        </w:tc>
      </w:tr>
      <w:tr w14:paraId="3D32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5" w:hRule="atLeast"/>
          <w:jc w:val="center"/>
        </w:trPr>
        <w:tc>
          <w:tcPr>
            <w:tcW w:w="2669" w:type="dxa"/>
            <w:gridSpan w:val="2"/>
            <w:shd w:val="clear" w:color="auto" w:fill="FFFFFF"/>
            <w:noWrap w:val="0"/>
            <w:tcMar>
              <w:left w:w="108" w:type="dxa"/>
              <w:right w:w="108" w:type="dxa"/>
            </w:tcMar>
            <w:vAlign w:val="center"/>
          </w:tcPr>
          <w:p w14:paraId="0BD50D5A">
            <w:pPr>
              <w:spacing w:line="440" w:lineRule="exact"/>
              <w:jc w:val="center"/>
              <w:rPr>
                <w:rFonts w:ascii="宋体" w:hAnsi="宋体" w:cs="宋体"/>
                <w:bCs/>
                <w:sz w:val="24"/>
              </w:rPr>
            </w:pPr>
            <w:r>
              <w:rPr>
                <w:rFonts w:hint="eastAsia" w:ascii="宋体" w:hAnsi="宋体" w:cs="宋体"/>
                <w:bCs/>
                <w:sz w:val="24"/>
              </w:rPr>
              <w:t>课后任务</w:t>
            </w:r>
          </w:p>
        </w:tc>
        <w:tc>
          <w:tcPr>
            <w:tcW w:w="2855" w:type="dxa"/>
            <w:shd w:val="clear" w:color="auto" w:fill="FFFFFF"/>
            <w:noWrap w:val="0"/>
            <w:tcMar>
              <w:left w:w="108" w:type="dxa"/>
              <w:right w:w="108" w:type="dxa"/>
            </w:tcMar>
            <w:vAlign w:val="center"/>
          </w:tcPr>
          <w:p w14:paraId="7B0202D9">
            <w:pPr>
              <w:spacing w:line="440" w:lineRule="exact"/>
              <w:rPr>
                <w:rFonts w:hint="eastAsia" w:ascii="宋体" w:hAnsi="宋体" w:cs="宋体"/>
                <w:bCs/>
                <w:sz w:val="24"/>
              </w:rPr>
            </w:pPr>
            <w:r>
              <w:rPr>
                <w:rFonts w:hint="eastAsia" w:ascii="宋体" w:hAnsi="宋体" w:cs="宋体"/>
                <w:bCs/>
                <w:sz w:val="24"/>
              </w:rPr>
              <w:t>复习歌曲（10分）</w:t>
            </w:r>
          </w:p>
        </w:tc>
        <w:tc>
          <w:tcPr>
            <w:tcW w:w="3457" w:type="dxa"/>
            <w:shd w:val="clear" w:color="auto" w:fill="FFFFFF"/>
            <w:noWrap w:val="0"/>
            <w:tcMar>
              <w:left w:w="108" w:type="dxa"/>
              <w:right w:w="108" w:type="dxa"/>
            </w:tcMar>
            <w:vAlign w:val="top"/>
          </w:tcPr>
          <w:p w14:paraId="2807C7A9">
            <w:pPr>
              <w:spacing w:line="440" w:lineRule="exact"/>
              <w:rPr>
                <w:rFonts w:ascii="宋体" w:hAnsi="宋体" w:cs="宋体"/>
                <w:bCs/>
                <w:sz w:val="24"/>
              </w:rPr>
            </w:pPr>
            <w:r>
              <w:rPr>
                <w:rFonts w:hint="eastAsia" w:ascii="宋体" w:hAnsi="宋体" w:cs="宋体"/>
                <w:bCs/>
                <w:sz w:val="24"/>
              </w:rPr>
              <w:t>优秀（10分）</w:t>
            </w:r>
          </w:p>
          <w:p w14:paraId="670077AE">
            <w:pPr>
              <w:spacing w:line="440" w:lineRule="exact"/>
              <w:rPr>
                <w:rFonts w:hint="eastAsia" w:ascii="宋体" w:hAnsi="宋体" w:cs="宋体"/>
                <w:bCs/>
                <w:sz w:val="24"/>
              </w:rPr>
            </w:pPr>
            <w:r>
              <w:rPr>
                <w:rFonts w:hint="eastAsia" w:ascii="宋体" w:hAnsi="宋体" w:cs="宋体"/>
                <w:bCs/>
                <w:sz w:val="24"/>
              </w:rPr>
              <w:t>良好（8～9分）</w:t>
            </w:r>
          </w:p>
          <w:p w14:paraId="677C388C">
            <w:pPr>
              <w:spacing w:line="440" w:lineRule="exact"/>
              <w:rPr>
                <w:rFonts w:ascii="宋体" w:hAnsi="宋体" w:cs="宋体"/>
                <w:bCs/>
                <w:sz w:val="24"/>
              </w:rPr>
            </w:pPr>
            <w:r>
              <w:rPr>
                <w:rFonts w:hint="eastAsia" w:ascii="宋体" w:hAnsi="宋体" w:cs="宋体"/>
                <w:bCs/>
                <w:sz w:val="24"/>
              </w:rPr>
              <w:t>合格（6～7分）</w:t>
            </w:r>
          </w:p>
          <w:p w14:paraId="0F86627E">
            <w:pPr>
              <w:spacing w:line="440" w:lineRule="exact"/>
              <w:rPr>
                <w:rFonts w:hint="eastAsia" w:ascii="宋体" w:hAnsi="宋体" w:cs="宋体"/>
                <w:bCs/>
                <w:sz w:val="24"/>
              </w:rPr>
            </w:pPr>
            <w:r>
              <w:rPr>
                <w:rFonts w:hint="eastAsia" w:ascii="宋体" w:hAnsi="宋体" w:cs="宋体"/>
                <w:bCs/>
                <w:sz w:val="24"/>
              </w:rPr>
              <w:t>不合格（6分以下）</w:t>
            </w:r>
          </w:p>
        </w:tc>
      </w:tr>
      <w:tr w14:paraId="6580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380" w:hRule="atLeast"/>
          <w:jc w:val="center"/>
        </w:trPr>
        <w:tc>
          <w:tcPr>
            <w:tcW w:w="2669" w:type="dxa"/>
            <w:gridSpan w:val="2"/>
            <w:vMerge w:val="restart"/>
            <w:shd w:val="clear" w:color="auto" w:fill="FFFFFF"/>
            <w:noWrap w:val="0"/>
            <w:tcMar>
              <w:left w:w="108" w:type="dxa"/>
              <w:right w:w="108" w:type="dxa"/>
            </w:tcMar>
            <w:vAlign w:val="center"/>
          </w:tcPr>
          <w:p w14:paraId="39E5DEAA">
            <w:pPr>
              <w:spacing w:line="440" w:lineRule="exact"/>
              <w:jc w:val="center"/>
              <w:rPr>
                <w:rFonts w:ascii="宋体" w:hAnsi="宋体" w:cs="宋体"/>
                <w:bCs/>
                <w:sz w:val="24"/>
              </w:rPr>
            </w:pPr>
            <w:r>
              <w:rPr>
                <w:rFonts w:hint="eastAsia" w:ascii="宋体" w:hAnsi="宋体" w:cs="宋体"/>
                <w:bCs/>
                <w:sz w:val="24"/>
              </w:rPr>
              <w:t>过程测试成绩</w:t>
            </w:r>
          </w:p>
        </w:tc>
        <w:tc>
          <w:tcPr>
            <w:tcW w:w="2855" w:type="dxa"/>
            <w:shd w:val="clear" w:color="auto" w:fill="FFFFFF"/>
            <w:noWrap w:val="0"/>
            <w:tcMar>
              <w:left w:w="108" w:type="dxa"/>
              <w:right w:w="108" w:type="dxa"/>
            </w:tcMar>
            <w:vAlign w:val="center"/>
          </w:tcPr>
          <w:p w14:paraId="47B8105C">
            <w:pPr>
              <w:spacing w:line="440" w:lineRule="exact"/>
              <w:rPr>
                <w:rFonts w:hint="eastAsia" w:ascii="宋体" w:hAnsi="宋体" w:cs="宋体"/>
                <w:bCs/>
                <w:sz w:val="24"/>
              </w:rPr>
            </w:pPr>
            <w:r>
              <w:rPr>
                <w:rFonts w:hint="eastAsia" w:ascii="宋体" w:hAnsi="宋体" w:cs="宋体"/>
                <w:bCs/>
                <w:sz w:val="24"/>
              </w:rPr>
              <w:t>随堂测试</w:t>
            </w:r>
          </w:p>
        </w:tc>
        <w:tc>
          <w:tcPr>
            <w:tcW w:w="3457" w:type="dxa"/>
            <w:vMerge w:val="restart"/>
            <w:shd w:val="clear" w:color="auto" w:fill="FFFFFF"/>
            <w:noWrap w:val="0"/>
            <w:tcMar>
              <w:left w:w="108" w:type="dxa"/>
              <w:right w:w="108" w:type="dxa"/>
            </w:tcMar>
            <w:vAlign w:val="top"/>
          </w:tcPr>
          <w:p w14:paraId="5909A2AC">
            <w:pPr>
              <w:spacing w:line="440" w:lineRule="exact"/>
              <w:rPr>
                <w:rFonts w:ascii="宋体" w:hAnsi="宋体" w:cs="宋体"/>
                <w:bCs/>
                <w:sz w:val="24"/>
              </w:rPr>
            </w:pPr>
            <w:r>
              <w:rPr>
                <w:rFonts w:hint="eastAsia" w:ascii="宋体" w:hAnsi="宋体" w:cs="宋体"/>
                <w:bCs/>
                <w:sz w:val="24"/>
              </w:rPr>
              <w:t>优秀（10分）；</w:t>
            </w:r>
          </w:p>
          <w:p w14:paraId="1DAC9BB8">
            <w:pPr>
              <w:spacing w:line="440" w:lineRule="exact"/>
              <w:rPr>
                <w:rFonts w:ascii="宋体" w:hAnsi="宋体" w:cs="宋体"/>
                <w:bCs/>
                <w:sz w:val="24"/>
              </w:rPr>
            </w:pPr>
            <w:r>
              <w:rPr>
                <w:rFonts w:hint="eastAsia" w:ascii="宋体" w:hAnsi="宋体" w:cs="宋体"/>
                <w:bCs/>
                <w:sz w:val="24"/>
              </w:rPr>
              <w:t>良好（8～9分），</w:t>
            </w:r>
          </w:p>
          <w:p w14:paraId="176EA7DC">
            <w:pPr>
              <w:spacing w:line="440" w:lineRule="exact"/>
              <w:rPr>
                <w:rFonts w:ascii="宋体" w:hAnsi="宋体" w:cs="宋体"/>
                <w:bCs/>
                <w:sz w:val="24"/>
              </w:rPr>
            </w:pPr>
            <w:r>
              <w:rPr>
                <w:rFonts w:hint="eastAsia" w:ascii="宋体" w:hAnsi="宋体" w:cs="宋体"/>
                <w:bCs/>
                <w:sz w:val="24"/>
              </w:rPr>
              <w:t xml:space="preserve">合格（6～7分） </w:t>
            </w:r>
          </w:p>
          <w:p w14:paraId="012517EA">
            <w:pPr>
              <w:spacing w:line="440" w:lineRule="exact"/>
              <w:rPr>
                <w:rFonts w:ascii="宋体" w:hAnsi="宋体" w:cs="宋体"/>
                <w:bCs/>
                <w:sz w:val="24"/>
              </w:rPr>
            </w:pPr>
            <w:r>
              <w:rPr>
                <w:rFonts w:hint="eastAsia" w:ascii="宋体" w:hAnsi="宋体" w:cs="宋体"/>
                <w:bCs/>
                <w:sz w:val="24"/>
              </w:rPr>
              <w:t>不合格（6分以下）</w:t>
            </w:r>
          </w:p>
        </w:tc>
      </w:tr>
      <w:tr w14:paraId="7C9A8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2669" w:type="dxa"/>
            <w:gridSpan w:val="2"/>
            <w:vMerge w:val="continue"/>
            <w:shd w:val="clear" w:color="auto" w:fill="FFFFFF"/>
            <w:noWrap w:val="0"/>
            <w:tcMar>
              <w:left w:w="108" w:type="dxa"/>
              <w:right w:w="108" w:type="dxa"/>
            </w:tcMar>
            <w:vAlign w:val="center"/>
          </w:tcPr>
          <w:p w14:paraId="147FE847">
            <w:pPr>
              <w:spacing w:line="440" w:lineRule="exact"/>
              <w:jc w:val="center"/>
              <w:rPr>
                <w:rFonts w:hint="eastAsia" w:ascii="宋体" w:hAnsi="宋体" w:cs="宋体"/>
                <w:bCs/>
                <w:sz w:val="24"/>
              </w:rPr>
            </w:pPr>
          </w:p>
        </w:tc>
        <w:tc>
          <w:tcPr>
            <w:tcW w:w="2855" w:type="dxa"/>
            <w:shd w:val="clear" w:color="auto" w:fill="FFFFFF"/>
            <w:noWrap w:val="0"/>
            <w:tcMar>
              <w:left w:w="108" w:type="dxa"/>
              <w:right w:w="108" w:type="dxa"/>
            </w:tcMar>
            <w:vAlign w:val="center"/>
          </w:tcPr>
          <w:p w14:paraId="70BE11C1">
            <w:pPr>
              <w:spacing w:line="440" w:lineRule="exact"/>
              <w:rPr>
                <w:rFonts w:hint="eastAsia" w:ascii="宋体" w:hAnsi="宋体" w:cs="宋体"/>
                <w:bCs/>
                <w:sz w:val="24"/>
              </w:rPr>
            </w:pPr>
            <w:r>
              <w:rPr>
                <w:rFonts w:hint="eastAsia" w:ascii="宋体" w:hAnsi="宋体" w:cs="宋体"/>
                <w:bCs/>
                <w:sz w:val="24"/>
              </w:rPr>
              <w:t>单元测试</w:t>
            </w:r>
          </w:p>
        </w:tc>
        <w:tc>
          <w:tcPr>
            <w:tcW w:w="3457" w:type="dxa"/>
            <w:vMerge w:val="continue"/>
            <w:shd w:val="clear" w:color="auto" w:fill="FFFFFF"/>
            <w:noWrap w:val="0"/>
            <w:tcMar>
              <w:left w:w="108" w:type="dxa"/>
              <w:right w:w="108" w:type="dxa"/>
            </w:tcMar>
            <w:vAlign w:val="top"/>
          </w:tcPr>
          <w:p w14:paraId="574E0DD3">
            <w:pPr>
              <w:spacing w:line="440" w:lineRule="exact"/>
              <w:rPr>
                <w:rFonts w:ascii="宋体" w:hAnsi="宋体" w:cs="宋体"/>
                <w:bCs/>
                <w:sz w:val="24"/>
              </w:rPr>
            </w:pPr>
          </w:p>
        </w:tc>
      </w:tr>
      <w:tr w14:paraId="5A51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48" w:hRule="atLeast"/>
          <w:jc w:val="center"/>
        </w:trPr>
        <w:tc>
          <w:tcPr>
            <w:tcW w:w="2669" w:type="dxa"/>
            <w:gridSpan w:val="2"/>
            <w:vMerge w:val="continue"/>
            <w:shd w:val="clear" w:color="auto" w:fill="FFFFFF"/>
            <w:noWrap w:val="0"/>
            <w:tcMar>
              <w:left w:w="108" w:type="dxa"/>
              <w:right w:w="108" w:type="dxa"/>
            </w:tcMar>
            <w:vAlign w:val="center"/>
          </w:tcPr>
          <w:p w14:paraId="79CAC305">
            <w:pPr>
              <w:spacing w:line="440" w:lineRule="exact"/>
              <w:jc w:val="center"/>
              <w:rPr>
                <w:rFonts w:hint="eastAsia" w:ascii="宋体" w:hAnsi="宋体" w:cs="宋体"/>
                <w:bCs/>
                <w:sz w:val="24"/>
              </w:rPr>
            </w:pPr>
          </w:p>
        </w:tc>
        <w:tc>
          <w:tcPr>
            <w:tcW w:w="2855" w:type="dxa"/>
            <w:shd w:val="clear" w:color="auto" w:fill="FFFFFF"/>
            <w:noWrap w:val="0"/>
            <w:tcMar>
              <w:left w:w="108" w:type="dxa"/>
              <w:right w:w="108" w:type="dxa"/>
            </w:tcMar>
            <w:vAlign w:val="center"/>
          </w:tcPr>
          <w:p w14:paraId="1087AD12">
            <w:pPr>
              <w:spacing w:line="440" w:lineRule="exact"/>
              <w:rPr>
                <w:rFonts w:hint="eastAsia" w:ascii="宋体" w:hAnsi="宋体" w:cs="宋体"/>
                <w:bCs/>
                <w:sz w:val="24"/>
              </w:rPr>
            </w:pPr>
            <w:r>
              <w:rPr>
                <w:rFonts w:hint="eastAsia" w:ascii="宋体" w:hAnsi="宋体" w:cs="宋体"/>
                <w:bCs/>
                <w:sz w:val="24"/>
              </w:rPr>
              <w:t>期中测试</w:t>
            </w:r>
          </w:p>
        </w:tc>
        <w:tc>
          <w:tcPr>
            <w:tcW w:w="3457" w:type="dxa"/>
            <w:vMerge w:val="continue"/>
            <w:shd w:val="clear" w:color="auto" w:fill="FFFFFF"/>
            <w:noWrap w:val="0"/>
            <w:tcMar>
              <w:left w:w="108" w:type="dxa"/>
              <w:right w:w="108" w:type="dxa"/>
            </w:tcMar>
            <w:vAlign w:val="top"/>
          </w:tcPr>
          <w:p w14:paraId="79A81F9A">
            <w:pPr>
              <w:spacing w:line="440" w:lineRule="exact"/>
              <w:rPr>
                <w:rFonts w:ascii="宋体" w:hAnsi="宋体" w:cs="宋体"/>
                <w:bCs/>
                <w:sz w:val="24"/>
              </w:rPr>
            </w:pPr>
          </w:p>
        </w:tc>
      </w:tr>
    </w:tbl>
    <w:p w14:paraId="4E8C41FA">
      <w:pPr>
        <w:spacing w:line="440" w:lineRule="exact"/>
        <w:rPr>
          <w:rFonts w:hint="eastAsia"/>
          <w:bCs/>
          <w:color w:val="000000"/>
          <w:sz w:val="24"/>
        </w:rPr>
      </w:pPr>
      <w:r>
        <w:rPr>
          <w:rFonts w:hint="eastAsia"/>
          <w:bCs/>
          <w:color w:val="000000"/>
          <w:sz w:val="24"/>
        </w:rPr>
        <w:t>（二）终结性评价</w:t>
      </w:r>
    </w:p>
    <w:p w14:paraId="2AD54F9B">
      <w:pPr>
        <w:spacing w:line="440" w:lineRule="exact"/>
        <w:rPr>
          <w:bCs/>
          <w:color w:val="000000"/>
          <w:sz w:val="24"/>
        </w:rPr>
      </w:pPr>
      <w:r>
        <w:rPr>
          <w:rFonts w:hint="eastAsia"/>
          <w:bCs/>
          <w:color w:val="000000"/>
          <w:sz w:val="24"/>
        </w:rPr>
        <w:t>终结性评价成绩（60分）=乐理知识考试（笔试20分）+音乐实践水平的考试（歌唱40分）</w:t>
      </w:r>
    </w:p>
    <w:p w14:paraId="06867104">
      <w:pPr>
        <w:spacing w:line="440" w:lineRule="exact"/>
        <w:rPr>
          <w:bCs/>
          <w:color w:val="000000"/>
          <w:sz w:val="24"/>
        </w:rPr>
      </w:pPr>
      <w:r>
        <w:rPr>
          <w:rFonts w:hint="eastAsia"/>
          <w:bCs/>
          <w:color w:val="000000"/>
          <w:sz w:val="24"/>
        </w:rPr>
        <w:t>（三）</w:t>
      </w:r>
      <w:r>
        <w:rPr>
          <w:rFonts w:hint="eastAsia"/>
          <w:b/>
          <w:color w:val="000000"/>
          <w:sz w:val="24"/>
        </w:rPr>
        <w:t>学期成绩</w:t>
      </w:r>
      <w:r>
        <w:rPr>
          <w:rFonts w:hint="eastAsia"/>
          <w:bCs/>
          <w:color w:val="000000"/>
          <w:sz w:val="24"/>
        </w:rPr>
        <w:t>=过程性评价成绩+终结性评价成绩，最终化成等级呈现。</w:t>
      </w:r>
    </w:p>
    <w:p w14:paraId="62EB98B7">
      <w:pPr>
        <w:spacing w:line="440" w:lineRule="exact"/>
        <w:rPr>
          <w:rFonts w:ascii="宋体" w:hAnsi="宋体" w:cs="宋体"/>
          <w:bCs/>
          <w:sz w:val="24"/>
        </w:rPr>
      </w:pPr>
      <w:r>
        <w:rPr>
          <w:rFonts w:hint="eastAsia" w:ascii="宋体" w:hAnsi="宋体" w:cs="宋体"/>
          <w:bCs/>
          <w:sz w:val="24"/>
        </w:rPr>
        <w:t>音乐成绩以等级制呈现：优秀（90分以上）、良好（71-89分）、及格（60-70分）、</w:t>
      </w:r>
    </w:p>
    <w:p w14:paraId="4D4E5650">
      <w:pPr>
        <w:spacing w:line="440" w:lineRule="exact"/>
        <w:rPr>
          <w:rFonts w:hint="eastAsia"/>
          <w:lang w:val="en-US" w:eastAsia="zh-CN"/>
        </w:rPr>
      </w:pPr>
      <w:r>
        <w:rPr>
          <w:rFonts w:hint="eastAsia" w:ascii="宋体" w:hAnsi="宋体" w:cs="宋体"/>
          <w:bCs/>
          <w:sz w:val="24"/>
        </w:rPr>
        <w:t>不及格（60分以下），</w:t>
      </w:r>
      <w:r>
        <w:rPr>
          <w:rFonts w:hint="eastAsia"/>
          <w:bCs/>
          <w:color w:val="000000"/>
          <w:sz w:val="24"/>
        </w:rPr>
        <w:t>须重新选修该门课程。</w:t>
      </w:r>
      <w:bookmarkStart w:id="1" w:name="_GoBack"/>
      <w:bookmarkEnd w:id="1"/>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7F80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34AEF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34AEF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A7280E"/>
    <w:multiLevelType w:val="singleLevel"/>
    <w:tmpl w:val="F6A7280E"/>
    <w:lvl w:ilvl="0" w:tentative="0">
      <w:start w:val="1"/>
      <w:numFmt w:val="decimal"/>
      <w:suff w:val="nothing"/>
      <w:lvlText w:val="%1、"/>
      <w:lvlJc w:val="left"/>
    </w:lvl>
  </w:abstractNum>
  <w:abstractNum w:abstractNumId="1">
    <w:nsid w:val="0C4FD889"/>
    <w:multiLevelType w:val="singleLevel"/>
    <w:tmpl w:val="0C4FD889"/>
    <w:lvl w:ilvl="0" w:tentative="0">
      <w:start w:val="1"/>
      <w:numFmt w:val="decimal"/>
      <w:suff w:val="nothing"/>
      <w:lvlText w:val="%1、"/>
      <w:lvlJc w:val="left"/>
    </w:lvl>
  </w:abstractNum>
  <w:abstractNum w:abstractNumId="2">
    <w:nsid w:val="0D37525C"/>
    <w:multiLevelType w:val="singleLevel"/>
    <w:tmpl w:val="0D37525C"/>
    <w:lvl w:ilvl="0" w:tentative="0">
      <w:start w:val="1"/>
      <w:numFmt w:val="decimal"/>
      <w:suff w:val="space"/>
      <w:lvlText w:val="%1、"/>
      <w:lvlJc w:val="left"/>
    </w:lvl>
  </w:abstractNum>
  <w:abstractNum w:abstractNumId="3">
    <w:nsid w:val="0FACE895"/>
    <w:multiLevelType w:val="singleLevel"/>
    <w:tmpl w:val="0FACE895"/>
    <w:lvl w:ilvl="0" w:tentative="0">
      <w:start w:val="1"/>
      <w:numFmt w:val="decimal"/>
      <w:suff w:val="nothing"/>
      <w:lvlText w:val="%1、"/>
      <w:lvlJc w:val="left"/>
    </w:lvl>
  </w:abstractNum>
  <w:abstractNum w:abstractNumId="4">
    <w:nsid w:val="432953E6"/>
    <w:multiLevelType w:val="singleLevel"/>
    <w:tmpl w:val="432953E6"/>
    <w:lvl w:ilvl="0" w:tentative="0">
      <w:start w:val="1"/>
      <w:numFmt w:val="decimal"/>
      <w:suff w:val="space"/>
      <w:lvlText w:val="%1."/>
      <w:lvlJc w:val="left"/>
      <w:rPr>
        <w:rFonts w:hint="default"/>
        <w:color w:val="000000" w:themeColor="text1"/>
        <w14:textFill>
          <w14:solidFill>
            <w14:schemeClr w14:val="tx1"/>
          </w14:solidFill>
        </w14:textFill>
      </w:rPr>
    </w:lvl>
  </w:abstractNum>
  <w:abstractNum w:abstractNumId="5">
    <w:nsid w:val="61E29695"/>
    <w:multiLevelType w:val="singleLevel"/>
    <w:tmpl w:val="61E29695"/>
    <w:lvl w:ilvl="0" w:tentative="0">
      <w:start w:val="1"/>
      <w:numFmt w:val="chineseCounting"/>
      <w:suff w:val="nothing"/>
      <w:lvlText w:val="（%1）"/>
      <w:lvlJc w:val="left"/>
      <w:rPr>
        <w:rFonts w:hint="eastAsia"/>
      </w:rPr>
    </w:lvl>
  </w:abstractNum>
  <w:abstractNum w:abstractNumId="6">
    <w:nsid w:val="7CD0949F"/>
    <w:multiLevelType w:val="singleLevel"/>
    <w:tmpl w:val="7CD0949F"/>
    <w:lvl w:ilvl="0" w:tentative="0">
      <w:start w:val="1"/>
      <w:numFmt w:val="decimal"/>
      <w:suff w:val="nothing"/>
      <w:lvlText w:val="%1、"/>
      <w:lvlJc w:val="left"/>
    </w:lvl>
  </w:abstractNum>
  <w:num w:numId="1">
    <w:abstractNumId w:val="4"/>
  </w:num>
  <w:num w:numId="2">
    <w:abstractNumId w:val="1"/>
  </w:num>
  <w:num w:numId="3">
    <w:abstractNumId w:val="0"/>
  </w:num>
  <w:num w:numId="4">
    <w:abstractNumId w:val="6"/>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YzZhODU5ZjE3MzdmMGMxMmY2YzhmM2U5YzhkOTUifQ=="/>
  </w:docVars>
  <w:rsids>
    <w:rsidRoot w:val="3028230D"/>
    <w:rsid w:val="05931505"/>
    <w:rsid w:val="0CBC0D2C"/>
    <w:rsid w:val="100449D5"/>
    <w:rsid w:val="110D2CF5"/>
    <w:rsid w:val="1181467C"/>
    <w:rsid w:val="16022B4E"/>
    <w:rsid w:val="1F537CD7"/>
    <w:rsid w:val="25900E53"/>
    <w:rsid w:val="2DBE31E6"/>
    <w:rsid w:val="3028230D"/>
    <w:rsid w:val="32E62D17"/>
    <w:rsid w:val="33350237"/>
    <w:rsid w:val="38734A08"/>
    <w:rsid w:val="3A0057AE"/>
    <w:rsid w:val="3B8362AE"/>
    <w:rsid w:val="3D4D7997"/>
    <w:rsid w:val="49730D5E"/>
    <w:rsid w:val="4A6E74D4"/>
    <w:rsid w:val="4F0119E5"/>
    <w:rsid w:val="55D24D8D"/>
    <w:rsid w:val="584F237F"/>
    <w:rsid w:val="59C22498"/>
    <w:rsid w:val="6A0A18FE"/>
    <w:rsid w:val="6B586F23"/>
    <w:rsid w:val="6CFD3BAD"/>
    <w:rsid w:val="71D64459"/>
    <w:rsid w:val="75C64CE7"/>
    <w:rsid w:val="76FB17E5"/>
    <w:rsid w:val="F7FD445F"/>
    <w:rsid w:val="F9BF0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copytips1"/>
    <w:basedOn w:val="8"/>
    <w:qFormat/>
    <w:uiPriority w:val="0"/>
    <w:rPr>
      <w:color w:val="F5F8FD"/>
      <w:sz w:val="2"/>
      <w:szCs w:val="2"/>
    </w:rPr>
  </w:style>
  <w:style w:type="paragraph" w:customStyle="1" w:styleId="1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2412</Words>
  <Characters>2428</Characters>
  <Lines>0</Lines>
  <Paragraphs>0</Paragraphs>
  <TotalTime>14</TotalTime>
  <ScaleCrop>false</ScaleCrop>
  <LinksUpToDate>false</LinksUpToDate>
  <CharactersWithSpaces>2456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2022-08-28T21:28:00Z</dcterms:created>
  <dc:creator>Derry_</dc:creator>
  <cp:lastModifiedBy>Derry_</cp:lastModifiedBy>
  <dcterms:modified xsi:type="dcterms:W3CDTF">2026-03-08T13:06:50Z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8F6B26F5BEE04D87999E27CE96B67FFF_13</vt:lpwstr>
  </property>
  <property fmtid="{D5CDD505-2E9C-101B-9397-08002B2CF9AE}" pid="4" name="KSOTemplateDocerSaveRecord">
    <vt:lpwstr>eyJoZGlkIjoiMTQzNTk4Mjc5Y2Y2NTIzNzFmYTIzOWZiZjgxZTc2MDkiLCJ1c2VySWQiOiIzNjExNDA0NzcifQ==</vt:lpwstr>
  </property>
</Properties>
</file>