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A8160F3">
      <w:pPr>
        <w:pStyle w:val="style0"/>
        <w:spacing w:lineRule="auto" w:line="360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《两小儿辩日》李老师评课要点梳理</w:t>
      </w:r>
    </w:p>
    <w:p w14:paraId="CD26CB3B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一、课程亮点</w:t>
      </w:r>
    </w:p>
    <w:p w14:paraId="5BECD831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1. 精准匹配“思辨性阅读与交流”任务群，紧扣单元语文核心要素。</w:t>
      </w:r>
    </w:p>
    <w:p w14:paraId="FF73C5CB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2. 引导学生综合运用已学古文理解方法，自主完成文本解读，契合六年级学情。</w:t>
      </w:r>
    </w:p>
    <w:p w14:paraId="A1CDCC78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3. 借助表格作为学习支架，清晰呈现观点与依据，适配说理文教学需求。</w:t>
      </w:r>
    </w:p>
    <w:p w14:paraId="C0F2A87C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4. 设计模仿辩论场景的环节，形式新颖，助力深化读文理解。</w:t>
      </w:r>
    </w:p>
    <w:p w14:paraId="14B4BD97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5. 结合资料收集进行科学释疑，帮助学生理解古人认知局限导致结论偏差的原因。</w:t>
      </w:r>
    </w:p>
    <w:p w14:paraId="69E91FC4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二、优化建议（10点）</w:t>
      </w:r>
    </w:p>
    <w:p w14:paraId="6312050D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1. AI创设情境需规避“古人复活”（如虚拟孔子对话），可设计其他合规情境。</w:t>
      </w:r>
    </w:p>
    <w:p w14:paraId="623D9E07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2. </w:t>
      </w:r>
      <w:r>
        <w:rPr>
          <w:rFonts w:hint="eastAsia"/>
          <w:sz w:val="24"/>
          <w:szCs w:val="24"/>
          <w:lang w:eastAsia="zh-CN"/>
        </w:rPr>
        <w:t>“辩”</w:t>
      </w:r>
      <w:r>
        <w:rPr>
          <w:sz w:val="24"/>
          <w:szCs w:val="24"/>
        </w:rPr>
        <w:t>字学完后需顺势融入课题理解，让学生结合字义阐释课题含义，再引入文本核心问题。</w:t>
      </w:r>
    </w:p>
    <w:p w14:paraId="E61FF008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3. 读文需分层推进：先解决生字、难字，再处理停顿、读流利，兼顾后进生学习需求。</w:t>
      </w:r>
    </w:p>
    <w:p w14:paraId="7ECC015E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4. 聚焦环节目标，避免提出超出学情的要求（如古文未读熟、语义未理解时，不要求边读边想故事内容）。</w:t>
      </w:r>
    </w:p>
    <w:p w14:paraId="C4B26D11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5. 遵循“先明</w:t>
      </w:r>
      <w:r>
        <w:rPr>
          <w:rFonts w:hint="eastAsia"/>
          <w:sz w:val="24"/>
          <w:szCs w:val="24"/>
          <w:lang w:eastAsia="zh-CN"/>
        </w:rPr>
        <w:t>含</w:t>
      </w:r>
      <w:r>
        <w:rPr>
          <w:sz w:val="24"/>
          <w:szCs w:val="24"/>
        </w:rPr>
        <w:t>义、再理文脉”的认知规律，待学生理解古文意思后，再梳理起因经过结果。</w:t>
      </w:r>
    </w:p>
    <w:p w14:paraId="3A6D3CB5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6. 预设释义重难点并强化点拨：补充“车盖”“盘盂”等事物名称的解读；结合“固若金汤”“赴汤蹈火”等成语深化“探汤”中“汤”（热水）的含义；明确“为”的多音多义、“知”（通“智”，智慧）的读音与含义。</w:t>
      </w:r>
    </w:p>
    <w:p w14:paraId="8383806B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7. 厘清说理类型：明确课文采用演绎推理（大前提+小前提+结论），区分于《真理诞生于100个问号之后》的归纳推理（强调事例典型性、全面性）。</w:t>
      </w:r>
    </w:p>
    <w:p w14:paraId="EB22D991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8. 调整环节顺序：先让学生读懂读熟古文，再分析文本的说理逻辑。</w:t>
      </w:r>
    </w:p>
    <w:p w14:paraId="1AE4DA96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9. 引导学生理解两小儿观点相反的核心原因——说理角度不同（一为距离，一为温度），且其推理在当时认知条件下具有合理性，结论偏差源于观察现象受干扰。</w:t>
      </w:r>
    </w:p>
    <w:p w14:paraId="273A5037">
      <w:pPr>
        <w:pStyle w:val="style0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10. 优化“三儿辩论”环节：通过表格支架引导“三儿”明确自身观点、依据1、依据2，按演绎推理逻辑参与辩论，而非单纯解释，提升思辨能力。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722</Words>
  <Characters>745</Characters>
  <Application>WPS Office</Application>
  <Paragraphs>18</Paragraphs>
  <CharactersWithSpaces>760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2026-04-07T12:44:15Z</dcterms:created>
  <dc:creator>MBH-AN10</dc:creator>
  <lastModifiedBy>MBH-AN10</lastModifiedBy>
  <dcterms:modified xsi:type="dcterms:W3CDTF">2026-04-07T12:48:59Z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a28c7f4bdd774911abdb37f84c0a0e86_21</vt:lpwstr>
  </property>
</Properties>
</file>