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250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30"/>
          <w:szCs w:val="30"/>
          <w:lang w:val="en-US" w:eastAsia="zh-CN"/>
        </w:rPr>
      </w:pPr>
      <w:r>
        <w:rPr>
          <w:rFonts w:hint="eastAsia"/>
          <w:sz w:val="30"/>
          <w:szCs w:val="30"/>
          <w:lang w:val="en-US" w:eastAsia="zh-CN"/>
        </w:rPr>
        <w:t>棠外附小2025—2026学年下期</w:t>
      </w:r>
    </w:p>
    <w:p w14:paraId="4E7E25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32"/>
        </w:rPr>
      </w:pPr>
      <w:r>
        <w:rPr>
          <w:rFonts w:hint="eastAsia"/>
          <w:sz w:val="32"/>
          <w:szCs w:val="32"/>
        </w:rPr>
        <w:t>备课组</w:t>
      </w:r>
      <w:r>
        <w:rPr>
          <w:rFonts w:hint="eastAsia"/>
          <w:sz w:val="32"/>
          <w:szCs w:val="32"/>
          <w:lang w:val="en-US" w:eastAsia="zh-CN"/>
        </w:rPr>
        <w:t>学月</w:t>
      </w:r>
      <w:r>
        <w:rPr>
          <w:rFonts w:hint="eastAsia"/>
          <w:sz w:val="32"/>
          <w:szCs w:val="32"/>
        </w:rPr>
        <w:t>工作总结</w:t>
      </w:r>
    </w:p>
    <w:p w14:paraId="442716DA">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center"/>
        <w:textAlignment w:val="auto"/>
        <w:rPr>
          <w:rFonts w:hint="default" w:eastAsiaTheme="minorEastAsia"/>
          <w:sz w:val="30"/>
          <w:szCs w:val="30"/>
          <w:lang w:val="en-US" w:eastAsia="zh-CN"/>
        </w:rPr>
      </w:pPr>
      <w:r>
        <w:rPr>
          <w:rFonts w:hint="eastAsia"/>
          <w:sz w:val="30"/>
          <w:szCs w:val="30"/>
          <w:lang w:val="en-US" w:eastAsia="zh-CN"/>
        </w:rPr>
        <w:t>五年级数学  黄春玲</w:t>
      </w:r>
    </w:p>
    <w:p w14:paraId="6BEDE2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w:t>
      </w:r>
      <w:r>
        <w:rPr>
          <w:rFonts w:hint="eastAsia"/>
          <w:sz w:val="24"/>
          <w:szCs w:val="24"/>
          <w:lang w:val="en-US" w:eastAsia="zh-CN"/>
        </w:rPr>
        <w:t>学</w:t>
      </w:r>
      <w:r>
        <w:rPr>
          <w:rFonts w:hint="eastAsia"/>
          <w:sz w:val="24"/>
          <w:szCs w:val="24"/>
        </w:rPr>
        <w:t>月，我们五年级数学备课组在学校教研室的统一领导和部署下，紧紧围绕“立体图形教学中核心素养的落实”这一主题，扎实开展了一系列富有成效的教研活动。从集体备课、说课磨课，到校内献课、线上评课，再到常规教学的精细化管理，全体组员团结协作，积极研讨，在实践中探索，在反思中提升，有效促进了教师专业成长和课堂教学效益的提高。现将本月工作总结如下：</w:t>
      </w:r>
    </w:p>
    <w:p w14:paraId="16608E1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rPr>
      </w:pPr>
      <w:r>
        <w:rPr>
          <w:rFonts w:hint="eastAsia"/>
          <w:sz w:val="24"/>
          <w:szCs w:val="24"/>
          <w:lang w:val="en-US" w:eastAsia="zh-CN"/>
        </w:rPr>
        <w:t>一、</w:t>
      </w:r>
      <w:r>
        <w:rPr>
          <w:rFonts w:hint="eastAsia"/>
          <w:sz w:val="24"/>
          <w:szCs w:val="24"/>
        </w:rPr>
        <w:t xml:space="preserve"> 深耕课堂，以课例</w:t>
      </w:r>
      <w:r>
        <w:rPr>
          <w:rFonts w:hint="eastAsia"/>
          <w:sz w:val="24"/>
          <w:szCs w:val="24"/>
          <w:lang w:val="en-US" w:eastAsia="zh-CN"/>
        </w:rPr>
        <w:t>展</w:t>
      </w:r>
      <w:r>
        <w:rPr>
          <w:rFonts w:hint="eastAsia"/>
          <w:sz w:val="24"/>
          <w:szCs w:val="24"/>
          <w:lang w:eastAsia="zh-CN"/>
        </w:rPr>
        <w:t>“</w:t>
      </w:r>
      <w:r>
        <w:rPr>
          <w:rFonts w:hint="eastAsia"/>
          <w:sz w:val="24"/>
          <w:szCs w:val="24"/>
          <w:lang w:val="en-US" w:eastAsia="zh-CN"/>
        </w:rPr>
        <w:t>数学好课堂”理念</w:t>
      </w:r>
    </w:p>
    <w:p w14:paraId="25818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课堂是教学的主阵地，也是教研的源头活水。本月，我们将教研的重点聚焦于“空间与几何”版块，特别是立体几何的起始教学，以期通过具体的课例研究，探索核心素养落地的有效路径。</w:t>
      </w:r>
    </w:p>
    <w:p w14:paraId="4E392D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 精心打磨《有趣的测量》，展现“图形与几何”教学魅力</w:t>
      </w:r>
    </w:p>
    <w:p w14:paraId="25E9A6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 xml:space="preserve"> 本月，组内黄春玲老师承担了校内献课任务，教学内容为五年级下册第四单元《有趣的测量》。这节课属于“图形与几何”领域，是学生初步接触不规则物体体积计算的关键内容，对于发展学生的空间观念和推理能力具有重要意义。</w:t>
      </w:r>
    </w:p>
    <w:p w14:paraId="475B33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集体智慧，共备一节课：在献课前，备课组充分发挥团队优势，组织了多次深入的集体备课。我们首先对教材进行深度解读，明确本节课的核心目标是让学生经历测量不规则物体体积的探究过程，掌握“排水法”等多种测量策略，并体会“转化”的数学思想。围绕这一目标，大家各抒己见，初步形成了教学方案。</w:t>
      </w:r>
    </w:p>
    <w:p w14:paraId="075ACC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说课磨课，精益求精：在集体备课的基础上，黄老师进行了说课，详细阐述了教学设计思路、重难点突破方法以及预期效果。组内老师针对说课内容进行了热烈讨论，提出了诸多建设性意见。随后，黄老师分别在四年级4班和6班进行了两次磨课。每一次磨课后，组内老师都及时听课、认真记录，并围绕“如何提高课堂效率”这一核心问题展开专题研讨。我们重点探讨了：如何在保证学生充分进行小组实验、动手操作、画图汇报、展示交流这些体验式学习环节的同时，又能有效把控时间，确保在规定课时内完成所有教学任务。经过两轮“实践—研讨—修改”的循环，最终形成了一节既充满探究乐趣，又具高效结构的精品课例。</w:t>
      </w:r>
    </w:p>
    <w:p w14:paraId="74FD06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校内展示，辐射引领：黄春玲老师执教的《有趣的测量》在附小数学组内成功献课。课堂上，学生兴趣盎然，实验有序，汇报精彩，充分体现了“以学生为中心”的教学理念。课后，全体听课教师依托双流智慧教学平台进行了线上评课。大家从目标达成、活动设计、师生互动、技术融合等维度进行了客观、深入的评价，效果优良。这次献课不仅展示了黄老师扎实的教学功底和备课组的团队力量，也为组内乃至全校数学教师研究“图形与几何”教学提供了优秀的参考范例。</w:t>
      </w:r>
    </w:p>
    <w:p w14:paraId="3F0E1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2.启动《包装的学问》备课，探索教学设计流程范式</w:t>
      </w:r>
    </w:p>
    <w:p w14:paraId="61AF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本月，我们还启动了朱鹏老师校内教研课《包装的学问》的集体备课工作。作为“空间与几何”版块的又一典型课例，我们将其视为延续《有趣的测量》研究成果、构建教学范式的重要一环。</w:t>
      </w:r>
    </w:p>
    <w:p w14:paraId="6B19B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聚焦目标叙写，明确教学方向：备课组首先对《包装的学问》的教学目标进行了“三级叙写”，即从课程目标、单元目标到课时目标进行了清晰的界定和分解，确保每一层级的教学目标都能指向学生核心素养的发展。</w:t>
      </w:r>
    </w:p>
    <w:p w14:paraId="02743A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构思教学活动，搭建探究支架：在明确目标的基础上，组员们围绕“如何设计有效的探究活动”展开了头脑风暴，初步形成了教学活动的设计思路。我们力求通过核心问题驱动，让学生在解决“怎样包装最省纸”的问题中，经历“猜想—验证—发现—应用”的探究过程，深化对表面积概念的理解，发展优化思想和空间想象力。目前，该课的初步设计方案已经形成，为后续的磨课展示奠定了坚实基础。</w:t>
      </w:r>
    </w:p>
    <w:p w14:paraId="7A77F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二</w:t>
      </w:r>
      <w:r>
        <w:rPr>
          <w:rFonts w:hint="eastAsia"/>
          <w:sz w:val="24"/>
          <w:szCs w:val="24"/>
        </w:rPr>
        <w:t>、 精耕常规，以细致管理保教学质量</w:t>
      </w:r>
      <w:bookmarkStart w:id="0" w:name="_GoBack"/>
      <w:bookmarkEnd w:id="0"/>
    </w:p>
    <w:p w14:paraId="6434A4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教学常规是教学质量的生命线。本月，我们在抓好教研活动的同时，也毫不松懈地落实教学“七认真”工作。</w:t>
      </w:r>
    </w:p>
    <w:p w14:paraId="4B2B37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 二次备课与反思常态化：全体组员均能按照学校要求，在集体备课的基础上，结合自身教学风格和班级学情，进行扎实有效的二次备课，体现个性化处理。同时，坚持每课一思，认真撰写课后反思，及时记录教学中的成功之处、遗憾点滴以及改进想法，在反思中不断积累经验，提升教学智慧。</w:t>
      </w:r>
    </w:p>
    <w:p w14:paraId="566BE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 作业批改与管理精细化：作业批改方面，老师们做到了细致入微，对学生的错题能及时指出，对有创意的解法能予以鼓励。特别值得一提的是，为了便于阶段性检查和针对性辅导，我们统一要求将周末作业和日常的课堂作业单进行归档存放。这不仅方便了学校和备课组的常规检查，更重要的是，这些保存下来的作业单成为了宝贵的“学情数据库”。通过定期翻阅分析，教师能够清晰地掌握班级学生的易错点和难点分布，从而在后续教学中做到“心中有数”，实施更加精准的“因材施教”和查漏补缺。</w:t>
      </w:r>
    </w:p>
    <w:p w14:paraId="69B66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三、</w:t>
      </w:r>
      <w:r>
        <w:rPr>
          <w:rFonts w:hint="eastAsia"/>
          <w:sz w:val="24"/>
          <w:szCs w:val="24"/>
        </w:rPr>
        <w:t xml:space="preserve"> 反思展望，明确后续教研方向</w:t>
      </w:r>
    </w:p>
    <w:p w14:paraId="626AB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回顾四月份的工作，我们取得了一些成绩：成功打磨了一节高质量的校级展示课，初步探索了“空间与几何”领域教学的一般流程，落实了细致有效的教学常规。然而，我们也清醒地认识到存在的不足：比如，在如何将核心素养更显性地融入每个教学环节方面，还有待深入钻研；组内教师的教研成果提炼和论文撰写能力也需进一步提升。</w:t>
      </w:r>
    </w:p>
    <w:p w14:paraId="562ACD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216D031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Theme="minorEastAsia"/>
          <w:sz w:val="24"/>
          <w:szCs w:val="24"/>
          <w:lang w:val="en-US" w:eastAsia="zh-CN"/>
        </w:rPr>
      </w:pPr>
      <w:r>
        <w:rPr>
          <w:rFonts w:hint="eastAsia"/>
          <w:sz w:val="24"/>
          <w:szCs w:val="24"/>
          <w:lang w:val="en-US" w:eastAsia="zh-CN"/>
        </w:rPr>
        <w:t xml:space="preserve">                                              2026.4.27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D5327"/>
    <w:rsid w:val="267D5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2026-04-27T13:49:00Z</dcterms:created>
  <dc:creator>不会游泳的鱼</dc:creator>
  <cp:lastModifiedBy>不会游泳的鱼</cp:lastModifiedBy>
  <dcterms:modified xsi:type="dcterms:W3CDTF">2026-04-27T13:59:44Z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B45EBD9F8BEA417CA42F338FB5E5B489_11</vt:lpwstr>
  </property>
  <property fmtid="{D5CDD505-2E9C-101B-9397-08002B2CF9AE}" pid="4" name="KSOTemplateDocerSaveRecord">
    <vt:lpwstr>eyJoZGlkIjoiZDRiYTFhZTlmNmZhYjVmNGZjZGJkZGViODA2MmQyNzUiLCJ1c2VySWQiOiI0MTQ2MTE3MjIifQ==</vt:lpwstr>
  </property>
</Properties>
</file>