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2022A174">
      <w:pPr>
        <w:pStyle w:val="style0"/>
        <w:jc w:val="center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棠外附小英语组七认真</w:t>
      </w:r>
      <w:r>
        <w:rPr>
          <w:rFonts w:hint="eastAsia"/>
          <w:b/>
          <w:bCs/>
          <w:sz w:val="36"/>
          <w:szCs w:val="44"/>
        </w:rPr>
        <w:t>评价表</w:t>
      </w:r>
    </w:p>
    <w:p w14:paraId="7BAB8833">
      <w:pPr>
        <w:pStyle w:val="style0"/>
        <w:jc w:val="center"/>
        <w:rPr>
          <w:b/>
          <w:bCs/>
          <w:sz w:val="36"/>
          <w:szCs w:val="44"/>
        </w:rPr>
      </w:pPr>
    </w:p>
    <w:p w14:paraId="2C6FED82">
      <w:pPr>
        <w:pStyle w:val="style0"/>
        <w:ind w:right="2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评价时间：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default"/>
          <w:sz w:val="28"/>
          <w:szCs w:val="28"/>
          <w:u w:val="single"/>
          <w:lang w:val="en-US"/>
        </w:rPr>
        <w:t>6月25日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 xml:space="preserve">                     </w:t>
      </w:r>
      <w:r>
        <w:rPr>
          <w:rFonts w:hint="eastAsia"/>
          <w:sz w:val="28"/>
          <w:szCs w:val="28"/>
        </w:rPr>
        <w:t>自评教师姓名：</w:t>
      </w:r>
      <w:r>
        <w:rPr>
          <w:rFonts w:hint="default"/>
          <w:sz w:val="28"/>
          <w:szCs w:val="28"/>
          <w:lang w:val="en-US"/>
        </w:rPr>
        <w:t>徐晓琴</w:t>
      </w:r>
    </w:p>
    <w:tbl>
      <w:tblPr>
        <w:tblStyle w:val="style154"/>
        <w:tblW w:w="10343" w:type="dxa"/>
        <w:tblLook w:val="04A0" w:firstRow="1" w:lastRow="0" w:firstColumn="1" w:lastColumn="0" w:noHBand="0" w:noVBand="1"/>
      </w:tblPr>
      <w:tblGrid>
        <w:gridCol w:w="704"/>
        <w:gridCol w:w="992"/>
        <w:gridCol w:w="964"/>
        <w:gridCol w:w="3998"/>
        <w:gridCol w:w="708"/>
        <w:gridCol w:w="709"/>
        <w:gridCol w:w="2268"/>
      </w:tblGrid>
      <w:tr w14:paraId="56117C31">
        <w:trPr>
          <w:trHeight w:val="711" w:hRule="atLeast"/>
        </w:trPr>
        <w:tc>
          <w:tcPr>
            <w:tcW w:w="704" w:type="dxa"/>
            <w:tcBorders/>
            <w:vAlign w:val="center"/>
          </w:tcPr>
          <w:p w14:paraId="3BB8DC22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992" w:type="dxa"/>
            <w:tcBorders/>
            <w:vAlign w:val="center"/>
          </w:tcPr>
          <w:p w14:paraId="4A5CF056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</w:t>
            </w:r>
          </w:p>
        </w:tc>
        <w:tc>
          <w:tcPr>
            <w:tcW w:w="4962" w:type="dxa"/>
            <w:gridSpan w:val="2"/>
            <w:tcBorders/>
            <w:vAlign w:val="center"/>
          </w:tcPr>
          <w:p w14:paraId="67618565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评价要点与办法</w:t>
            </w:r>
          </w:p>
        </w:tc>
        <w:tc>
          <w:tcPr>
            <w:tcW w:w="708" w:type="dxa"/>
            <w:tcBorders/>
            <w:vAlign w:val="center"/>
          </w:tcPr>
          <w:p w14:paraId="4469F6E6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分值</w:t>
            </w:r>
          </w:p>
        </w:tc>
        <w:tc>
          <w:tcPr>
            <w:tcW w:w="709" w:type="dxa"/>
            <w:tcBorders/>
            <w:vAlign w:val="center"/>
          </w:tcPr>
          <w:p w14:paraId="7EC71A44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自评得分</w:t>
            </w:r>
          </w:p>
        </w:tc>
        <w:tc>
          <w:tcPr>
            <w:tcW w:w="2268" w:type="dxa"/>
            <w:tcBorders/>
            <w:vAlign w:val="center"/>
          </w:tcPr>
          <w:p w14:paraId="643AE1F9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组评得分</w:t>
            </w:r>
          </w:p>
        </w:tc>
      </w:tr>
      <w:tr w14:paraId="56D850A8">
        <w:tblPrEx/>
        <w:trPr>
          <w:trHeight w:val="941" w:hRule="atLeast"/>
        </w:trPr>
        <w:tc>
          <w:tcPr>
            <w:tcW w:w="704" w:type="dxa"/>
            <w:vMerge w:val="restart"/>
            <w:tcBorders/>
            <w:vAlign w:val="center"/>
          </w:tcPr>
          <w:p w14:paraId="3D1EF792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992" w:type="dxa"/>
            <w:vMerge w:val="restart"/>
            <w:tcBorders/>
            <w:vAlign w:val="center"/>
          </w:tcPr>
          <w:p w14:paraId="5477E99E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备课与反思15分</w:t>
            </w:r>
          </w:p>
        </w:tc>
        <w:tc>
          <w:tcPr>
            <w:tcW w:w="4962" w:type="dxa"/>
            <w:gridSpan w:val="2"/>
            <w:tcBorders/>
            <w:vAlign w:val="center"/>
          </w:tcPr>
          <w:p w14:paraId="0D0C5879">
            <w:pPr>
              <w:pStyle w:val="style0"/>
              <w:adjustRightInd w:val="false"/>
              <w:snapToGrid w:val="false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教案包含教学目标（</w:t>
            </w:r>
            <w:r>
              <w:rPr>
                <w:rFonts w:ascii="宋体" w:hAnsi="宋体" w:hint="eastAsia"/>
                <w:szCs w:val="21"/>
              </w:rPr>
              <w:t>贴合课标与</w:t>
            </w:r>
            <w:r>
              <w:rPr>
                <w:rFonts w:ascii="宋体" w:hAnsi="宋体" w:hint="eastAsia"/>
                <w:szCs w:val="21"/>
              </w:rPr>
              <w:t>学段）、重难点、教学过程、板书设计，要素齐全得5分；</w:t>
            </w:r>
          </w:p>
          <w:p w14:paraId="7CFA4216">
            <w:pPr>
              <w:pStyle w:val="style179"/>
              <w:adjustRightInd w:val="false"/>
              <w:snapToGrid w:val="false"/>
              <w:ind w:left="360" w:firstLine="0" w:firstLineChars="0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缺1项扣1分；</w:t>
            </w:r>
          </w:p>
        </w:tc>
        <w:tc>
          <w:tcPr>
            <w:tcW w:w="708" w:type="dxa"/>
            <w:tcBorders/>
            <w:vAlign w:val="center"/>
          </w:tcPr>
          <w:p w14:paraId="778167F9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09" w:type="dxa"/>
            <w:tcBorders/>
            <w:vAlign w:val="center"/>
          </w:tcPr>
          <w:p w14:paraId="45162CF0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5</w:t>
            </w:r>
          </w:p>
        </w:tc>
        <w:tc>
          <w:tcPr>
            <w:tcW w:w="2268" w:type="dxa"/>
            <w:tcBorders/>
            <w:vAlign w:val="center"/>
          </w:tcPr>
          <w:p w14:paraId="77C86192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22F5A80F">
        <w:tblPrEx/>
        <w:trPr>
          <w:trHeight w:val="1833" w:hRule="atLeast"/>
        </w:trPr>
        <w:tc>
          <w:tcPr>
            <w:tcW w:w="704" w:type="dxa"/>
            <w:vMerge w:val="continue"/>
            <w:tcBorders/>
            <w:vAlign w:val="center"/>
          </w:tcPr>
          <w:p w14:paraId="11B31C2B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1F4C512D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962" w:type="dxa"/>
            <w:gridSpan w:val="2"/>
            <w:tcBorders/>
            <w:vAlign w:val="center"/>
          </w:tcPr>
          <w:p w14:paraId="073DB15D">
            <w:pPr>
              <w:pStyle w:val="style0"/>
              <w:adjustRightInd w:val="false"/>
              <w:snapToGrid w:val="false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有二次备课，书写规范，逻辑清晰，设计前瞻，体现新课</w:t>
            </w:r>
            <w:r>
              <w:rPr>
                <w:rFonts w:ascii="宋体" w:hAnsi="宋体" w:hint="eastAsia"/>
                <w:szCs w:val="21"/>
              </w:rPr>
              <w:t>标核心</w:t>
            </w:r>
            <w:r>
              <w:rPr>
                <w:rFonts w:ascii="宋体" w:hAnsi="宋体" w:hint="eastAsia"/>
                <w:szCs w:val="21"/>
              </w:rPr>
              <w:t xml:space="preserve">素养导向，单元整体教学思路清晰，重难点突破方法新颖得5分；   </w:t>
            </w:r>
          </w:p>
          <w:p w14:paraId="2CB5F398">
            <w:pPr>
              <w:pStyle w:val="style0"/>
              <w:adjustRightInd w:val="false"/>
              <w:snapToGrid w:val="false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有二次备课，书写规范，但设计缺乏思考，不符合英语教学活动观，</w:t>
            </w:r>
            <w:r>
              <w:rPr>
                <w:rFonts w:ascii="宋体" w:hAnsi="宋体" w:hint="eastAsia"/>
                <w:szCs w:val="21"/>
              </w:rPr>
              <w:t>视情况</w:t>
            </w:r>
            <w:r>
              <w:rPr>
                <w:rFonts w:ascii="宋体" w:hAnsi="宋体" w:hint="eastAsia"/>
                <w:szCs w:val="21"/>
              </w:rPr>
              <w:t>得1-4分；</w:t>
            </w:r>
          </w:p>
          <w:p w14:paraId="4DD2DDA0">
            <w:pPr>
              <w:pStyle w:val="style0"/>
              <w:adjustRightInd w:val="false"/>
              <w:snapToGrid w:val="false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无二次备课得0分。</w:t>
            </w:r>
          </w:p>
        </w:tc>
        <w:tc>
          <w:tcPr>
            <w:tcW w:w="708" w:type="dxa"/>
            <w:tcBorders/>
            <w:vAlign w:val="center"/>
          </w:tcPr>
          <w:p w14:paraId="2D8D1865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09" w:type="dxa"/>
            <w:tcBorders/>
            <w:vAlign w:val="center"/>
          </w:tcPr>
          <w:p w14:paraId="18EDA94B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5</w:t>
            </w:r>
          </w:p>
        </w:tc>
        <w:tc>
          <w:tcPr>
            <w:tcW w:w="2268" w:type="dxa"/>
            <w:tcBorders/>
            <w:vAlign w:val="center"/>
          </w:tcPr>
          <w:p w14:paraId="70846A79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·</w:t>
            </w:r>
          </w:p>
        </w:tc>
      </w:tr>
      <w:tr w14:paraId="61A71B76">
        <w:tblPrEx/>
        <w:trPr>
          <w:trHeight w:val="1406" w:hRule="atLeast"/>
        </w:trPr>
        <w:tc>
          <w:tcPr>
            <w:tcW w:w="704" w:type="dxa"/>
            <w:vMerge w:val="continue"/>
            <w:tcBorders/>
            <w:vAlign w:val="center"/>
          </w:tcPr>
          <w:p w14:paraId="44BCF405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1FEA4D8B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962" w:type="dxa"/>
            <w:gridSpan w:val="2"/>
            <w:tcBorders/>
            <w:vAlign w:val="center"/>
          </w:tcPr>
          <w:p w14:paraId="11179D89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反思深刻，能聚焦课堂真实问题（如教学方法优化、学生反馈处理）提出具体可行的二次修改方案，得5分；</w:t>
            </w:r>
          </w:p>
          <w:p w14:paraId="612D4444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反思内容空洞敷衍，流于形式、套话多，扣1-4分；</w:t>
            </w:r>
          </w:p>
          <w:p w14:paraId="7AAD8C48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</w:t>
            </w:r>
            <w:r>
              <w:rPr>
                <w:rFonts w:ascii="宋体" w:hAnsi="宋体" w:hint="eastAsia"/>
                <w:szCs w:val="21"/>
              </w:rPr>
              <w:t>课</w:t>
            </w:r>
            <w:r>
              <w:rPr>
                <w:rFonts w:ascii="宋体" w:hAnsi="宋体" w:hint="eastAsia"/>
                <w:szCs w:val="21"/>
              </w:rPr>
              <w:t>有反思，少一次扣1分。</w:t>
            </w:r>
          </w:p>
        </w:tc>
        <w:tc>
          <w:tcPr>
            <w:tcW w:w="708" w:type="dxa"/>
            <w:tcBorders/>
            <w:vAlign w:val="center"/>
          </w:tcPr>
          <w:p w14:paraId="6EEBAE99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09" w:type="dxa"/>
            <w:tcBorders/>
            <w:vAlign w:val="center"/>
          </w:tcPr>
          <w:p w14:paraId="62961AF1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5</w:t>
            </w:r>
          </w:p>
        </w:tc>
        <w:tc>
          <w:tcPr>
            <w:tcW w:w="2268" w:type="dxa"/>
            <w:tcBorders/>
            <w:vAlign w:val="center"/>
          </w:tcPr>
          <w:p w14:paraId="33947707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08459E27">
        <w:tblPrEx/>
        <w:trPr>
          <w:trHeight w:val="2971" w:hRule="atLeast"/>
        </w:trPr>
        <w:tc>
          <w:tcPr>
            <w:tcW w:w="704" w:type="dxa"/>
            <w:tcBorders/>
            <w:vAlign w:val="center"/>
          </w:tcPr>
          <w:p w14:paraId="3F010CBD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992" w:type="dxa"/>
            <w:tcBorders/>
            <w:vAlign w:val="center"/>
          </w:tcPr>
          <w:p w14:paraId="341DBEE0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课堂教学15分</w:t>
            </w:r>
          </w:p>
        </w:tc>
        <w:tc>
          <w:tcPr>
            <w:tcW w:w="4962" w:type="dxa"/>
            <w:gridSpan w:val="2"/>
            <w:tcBorders/>
            <w:vAlign w:val="center"/>
          </w:tcPr>
          <w:p w14:paraId="1AF4F9FA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A级（15分）：</w:t>
            </w:r>
            <w:r>
              <w:rPr>
                <w:rFonts w:ascii="宋体" w:hAnsi="宋体" w:hint="eastAsia"/>
                <w:szCs w:val="21"/>
              </w:rPr>
              <w:t>落实集体备课核心流程（可微调），教学环节完整、逻辑闭环；精准落实新课标要求，深度融合育人目标，</w:t>
            </w:r>
            <w:r>
              <w:rPr>
                <w:rFonts w:ascii="宋体" w:hAnsi="宋体" w:hint="eastAsia"/>
                <w:szCs w:val="21"/>
              </w:rPr>
              <w:t>践行</w:t>
            </w:r>
            <w:r>
              <w:rPr>
                <w:rFonts w:ascii="宋体" w:hAnsi="宋体" w:hint="eastAsia"/>
                <w:szCs w:val="21"/>
              </w:rPr>
              <w:t>英语活动观；学生全员参与、互动多元，充分体现学生主体地位，课堂目标高效达成。</w:t>
            </w:r>
          </w:p>
          <w:p w14:paraId="3A5648DB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B级（12-14分）：</w:t>
            </w:r>
            <w:r>
              <w:rPr>
                <w:rFonts w:ascii="宋体" w:hAnsi="宋体" w:hint="eastAsia"/>
                <w:szCs w:val="21"/>
              </w:rPr>
              <w:t>基本落实集体备课核心流程（可微调）</w:t>
            </w:r>
            <w:r>
              <w:rPr>
                <w:rFonts w:ascii="宋体" w:hAnsi="宋体" w:hint="eastAsia"/>
                <w:szCs w:val="21"/>
              </w:rPr>
              <w:t>，课堂顺畅但</w:t>
            </w:r>
            <w:r>
              <w:rPr>
                <w:rFonts w:ascii="宋体" w:hAnsi="宋体" w:hint="eastAsia"/>
                <w:szCs w:val="21"/>
              </w:rPr>
              <w:t>侧重教师讲授，学生互动形式单一，学生参与度中等，课堂目标基本达成。</w:t>
            </w:r>
            <w:r>
              <w:rPr>
                <w:rFonts w:ascii="宋体" w:hAnsi="宋体" w:hint="eastAsia"/>
                <w:szCs w:val="21"/>
              </w:rPr>
              <w:t>或课堂组织欠佳。</w:t>
            </w:r>
          </w:p>
          <w:p w14:paraId="47F394D3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C级（10-11分）：</w:t>
            </w:r>
            <w:r>
              <w:rPr>
                <w:rFonts w:ascii="宋体" w:hAnsi="宋体" w:hint="eastAsia"/>
                <w:szCs w:val="21"/>
              </w:rPr>
              <w:t>仅遵循集体备课基本思路，课堂组织松散，环节衔接不连贯；学生参与度低，互动不足，课堂目标达成度一般，存在明显改进空间。</w:t>
            </w:r>
          </w:p>
          <w:p w14:paraId="000EF7AB">
            <w:pPr>
              <w:pStyle w:val="style0"/>
              <w:adjustRightInd w:val="false"/>
              <w:snapToGrid w:val="fals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D级（低于10分）：</w:t>
            </w:r>
            <w:r>
              <w:rPr>
                <w:rFonts w:ascii="宋体" w:hAnsi="宋体" w:hint="eastAsia"/>
                <w:szCs w:val="21"/>
              </w:rPr>
              <w:t>未按集体备课要求实施，课堂结构混乱；未落实新课标与育人目标，学生参与度极低，课堂目标难以达成，需立即整改。</w:t>
            </w:r>
          </w:p>
          <w:p w14:paraId="0DAED20B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(分数存在区间，具体得分根据细则</w:t>
            </w:r>
            <w:r>
              <w:rPr>
                <w:rFonts w:ascii="宋体" w:hAnsi="宋体" w:hint="eastAsia"/>
                <w:szCs w:val="21"/>
              </w:rPr>
              <w:t>酌</w:t>
            </w:r>
            <w:r>
              <w:rPr>
                <w:rFonts w:ascii="宋体" w:hAnsi="宋体" w:hint="eastAsia"/>
                <w:szCs w:val="21"/>
              </w:rPr>
              <w:t>增减)</w:t>
            </w:r>
          </w:p>
        </w:tc>
        <w:tc>
          <w:tcPr>
            <w:tcW w:w="708" w:type="dxa"/>
            <w:tcBorders/>
            <w:vAlign w:val="center"/>
          </w:tcPr>
          <w:p w14:paraId="5EB2D1DF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709" w:type="dxa"/>
            <w:tcBorders/>
            <w:vAlign w:val="center"/>
          </w:tcPr>
          <w:p w14:paraId="10749880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15</w:t>
            </w:r>
          </w:p>
        </w:tc>
        <w:tc>
          <w:tcPr>
            <w:tcW w:w="2268" w:type="dxa"/>
            <w:tcBorders/>
            <w:vAlign w:val="center"/>
          </w:tcPr>
          <w:p w14:paraId="7F74FE21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5E8DAA7F">
        <w:tblPrEx/>
        <w:trPr>
          <w:trHeight w:val="689" w:hRule="atLeast"/>
        </w:trPr>
        <w:tc>
          <w:tcPr>
            <w:tcW w:w="704" w:type="dxa"/>
            <w:vMerge w:val="restart"/>
            <w:tcBorders/>
            <w:vAlign w:val="center"/>
          </w:tcPr>
          <w:p w14:paraId="6D256DC5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992" w:type="dxa"/>
            <w:vMerge w:val="restart"/>
            <w:tcBorders/>
            <w:vAlign w:val="center"/>
          </w:tcPr>
          <w:p w14:paraId="6B58CD9C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听课笔记15分</w:t>
            </w:r>
          </w:p>
        </w:tc>
        <w:tc>
          <w:tcPr>
            <w:tcW w:w="4962" w:type="dxa"/>
            <w:gridSpan w:val="2"/>
            <w:tcBorders/>
            <w:vAlign w:val="center"/>
          </w:tcPr>
          <w:p w14:paraId="0EA3AB8C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每学月听课≥4节，得8分，少1节少得2分；</w:t>
            </w:r>
          </w:p>
        </w:tc>
        <w:tc>
          <w:tcPr>
            <w:tcW w:w="708" w:type="dxa"/>
            <w:tcBorders/>
            <w:vAlign w:val="center"/>
          </w:tcPr>
          <w:p w14:paraId="27B587B9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709" w:type="dxa"/>
            <w:tcBorders/>
            <w:vAlign w:val="center"/>
          </w:tcPr>
          <w:p w14:paraId="1AB8C58C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8</w:t>
            </w:r>
          </w:p>
        </w:tc>
        <w:tc>
          <w:tcPr>
            <w:tcW w:w="2268" w:type="dxa"/>
            <w:tcBorders/>
            <w:vAlign w:val="center"/>
          </w:tcPr>
          <w:p w14:paraId="0D5CB35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4B282CF0">
        <w:tblPrEx/>
        <w:trPr>
          <w:trHeight w:val="842" w:hRule="atLeast"/>
        </w:trPr>
        <w:tc>
          <w:tcPr>
            <w:tcW w:w="704" w:type="dxa"/>
            <w:vMerge w:val="continue"/>
            <w:tcBorders/>
            <w:vAlign w:val="center"/>
          </w:tcPr>
          <w:p w14:paraId="06D721B5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0634C645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962" w:type="dxa"/>
            <w:gridSpan w:val="2"/>
            <w:tcBorders/>
            <w:vAlign w:val="center"/>
          </w:tcPr>
          <w:p w14:paraId="31A6EA4F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听课记录完整，标题、授课老师、年级、课型等填写完整得4分，记录简略或者少项，扣1-4分；</w:t>
            </w:r>
          </w:p>
        </w:tc>
        <w:tc>
          <w:tcPr>
            <w:tcW w:w="708" w:type="dxa"/>
            <w:tcBorders/>
            <w:vAlign w:val="center"/>
          </w:tcPr>
          <w:p w14:paraId="6B7796BD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709" w:type="dxa"/>
            <w:tcBorders/>
            <w:vAlign w:val="center"/>
          </w:tcPr>
          <w:p w14:paraId="65DEB9C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4</w:t>
            </w:r>
          </w:p>
        </w:tc>
        <w:tc>
          <w:tcPr>
            <w:tcW w:w="2268" w:type="dxa"/>
            <w:tcBorders/>
            <w:vAlign w:val="center"/>
          </w:tcPr>
          <w:p w14:paraId="2C8A27DE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68522F36">
        <w:tblPrEx/>
        <w:trPr>
          <w:trHeight w:val="839" w:hRule="atLeast"/>
        </w:trPr>
        <w:tc>
          <w:tcPr>
            <w:tcW w:w="704" w:type="dxa"/>
            <w:vMerge w:val="continue"/>
            <w:tcBorders/>
            <w:vAlign w:val="center"/>
          </w:tcPr>
          <w:p w14:paraId="06B2E974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18B2CDF3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962" w:type="dxa"/>
            <w:gridSpan w:val="2"/>
            <w:tcBorders/>
            <w:vAlign w:val="center"/>
          </w:tcPr>
          <w:p w14:paraId="32A402CE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有反思、有针对性评课意见（符合客观性、发展性原则），得3分。</w:t>
            </w:r>
          </w:p>
          <w:p w14:paraId="1E93AFB5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无评课内容、无反思，或者评课反思敷衍，酌情扣1-2分</w:t>
            </w:r>
          </w:p>
        </w:tc>
        <w:tc>
          <w:tcPr>
            <w:tcW w:w="708" w:type="dxa"/>
            <w:tcBorders/>
            <w:vAlign w:val="center"/>
          </w:tcPr>
          <w:p w14:paraId="22C870B9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09" w:type="dxa"/>
            <w:tcBorders/>
            <w:vAlign w:val="center"/>
          </w:tcPr>
          <w:p w14:paraId="7E9924FF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3</w:t>
            </w:r>
          </w:p>
        </w:tc>
        <w:tc>
          <w:tcPr>
            <w:tcW w:w="2268" w:type="dxa"/>
            <w:tcBorders/>
            <w:vAlign w:val="center"/>
          </w:tcPr>
          <w:p w14:paraId="542D48E4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773C51BA">
        <w:tblPrEx/>
        <w:trPr>
          <w:trHeight w:val="90" w:hRule="atLeast"/>
        </w:trPr>
        <w:tc>
          <w:tcPr>
            <w:tcW w:w="704" w:type="dxa"/>
            <w:vMerge w:val="restart"/>
            <w:tcBorders/>
            <w:vAlign w:val="center"/>
          </w:tcPr>
          <w:p w14:paraId="4510817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992" w:type="dxa"/>
            <w:vMerge w:val="restart"/>
            <w:tcBorders/>
            <w:vAlign w:val="center"/>
          </w:tcPr>
          <w:p w14:paraId="09C0FEC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作业批改25分</w:t>
            </w:r>
          </w:p>
        </w:tc>
        <w:tc>
          <w:tcPr>
            <w:tcW w:w="964" w:type="dxa"/>
            <w:tcBorders/>
            <w:vAlign w:val="center"/>
          </w:tcPr>
          <w:p w14:paraId="578271A4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口语作业10</w:t>
            </w:r>
          </w:p>
        </w:tc>
        <w:tc>
          <w:tcPr>
            <w:tcW w:w="3998" w:type="dxa"/>
            <w:tcBorders/>
            <w:vAlign w:val="center"/>
          </w:tcPr>
          <w:p w14:paraId="54D90EAE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A级</w:t>
            </w:r>
            <w:r>
              <w:rPr>
                <w:rFonts w:ascii="宋体" w:hAnsi="宋体" w:hint="eastAsia"/>
                <w:szCs w:val="21"/>
              </w:rPr>
              <w:tab/>
            </w:r>
            <w:r>
              <w:rPr>
                <w:rFonts w:ascii="宋体" w:hAnsi="宋体" w:hint="eastAsia"/>
                <w:szCs w:val="21"/>
              </w:rPr>
              <w:t>（10分）</w:t>
            </w:r>
          </w:p>
          <w:p w14:paraId="2614FA5C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标识统一清晰，检查及时，有复检闭环，关注个体差异。</w:t>
            </w:r>
          </w:p>
          <w:p w14:paraId="0DD56A66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B级</w:t>
            </w:r>
            <w:r>
              <w:rPr>
                <w:rFonts w:ascii="宋体" w:hAnsi="宋体" w:hint="eastAsia"/>
                <w:szCs w:val="21"/>
              </w:rPr>
              <w:tab/>
            </w:r>
            <w:r>
              <w:rPr>
                <w:rFonts w:ascii="宋体" w:hAnsi="宋体" w:hint="eastAsia"/>
                <w:szCs w:val="21"/>
              </w:rPr>
              <w:t>（8分）</w:t>
            </w:r>
          </w:p>
          <w:p w14:paraId="4F5F8FC3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有检查痕迹但标识不统一，进度稍滞后，缺乏复检机制。</w:t>
            </w:r>
          </w:p>
          <w:p w14:paraId="201B1B56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C级（5分）</w:t>
            </w:r>
          </w:p>
          <w:p w14:paraId="7E60EFC1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检查痕迹缺失，进度严重滞后，无管理闭环。</w:t>
            </w:r>
          </w:p>
        </w:tc>
        <w:tc>
          <w:tcPr>
            <w:tcW w:w="708" w:type="dxa"/>
            <w:tcBorders/>
            <w:vAlign w:val="center"/>
          </w:tcPr>
          <w:p w14:paraId="4D78803C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709" w:type="dxa"/>
            <w:tcBorders/>
            <w:vAlign w:val="center"/>
          </w:tcPr>
          <w:p w14:paraId="71ECBF04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10</w:t>
            </w:r>
          </w:p>
        </w:tc>
        <w:tc>
          <w:tcPr>
            <w:tcW w:w="2268" w:type="dxa"/>
            <w:tcBorders/>
            <w:vAlign w:val="center"/>
          </w:tcPr>
          <w:p w14:paraId="468B848F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0F7C7476">
        <w:tblPrEx/>
        <w:trPr>
          <w:trHeight w:val="90" w:hRule="atLeast"/>
        </w:trPr>
        <w:tc>
          <w:tcPr>
            <w:tcW w:w="704" w:type="dxa"/>
            <w:vMerge w:val="continue"/>
            <w:tcBorders/>
            <w:vAlign w:val="center"/>
          </w:tcPr>
          <w:p w14:paraId="53F246D5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10942C54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64" w:type="dxa"/>
            <w:tcBorders/>
            <w:vAlign w:val="center"/>
          </w:tcPr>
          <w:p w14:paraId="1F7548EA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书面作业15</w:t>
            </w:r>
          </w:p>
        </w:tc>
        <w:tc>
          <w:tcPr>
            <w:tcW w:w="3998" w:type="dxa"/>
            <w:tcBorders/>
            <w:vAlign w:val="center"/>
          </w:tcPr>
          <w:p w14:paraId="6220453D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A级（15分）：批改及时（按规定进度），有明确纠错要求和二次批改，有统一评价；</w:t>
            </w:r>
          </w:p>
          <w:p w14:paraId="0B0D2961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B级（13分）：批改及时（按规定进度），有错误标识，但</w:t>
            </w:r>
            <w:r>
              <w:rPr>
                <w:rFonts w:ascii="宋体" w:hAnsi="宋体" w:hint="eastAsia"/>
                <w:szCs w:val="21"/>
              </w:rPr>
              <w:t>缺</w:t>
            </w:r>
            <w:r>
              <w:rPr>
                <w:rFonts w:ascii="宋体" w:hAnsi="宋体" w:hint="eastAsia"/>
                <w:szCs w:val="21"/>
              </w:rPr>
              <w:t>评价</w:t>
            </w:r>
            <w:r>
              <w:rPr>
                <w:rFonts w:ascii="宋体" w:hAnsi="宋体" w:hint="eastAsia"/>
                <w:szCs w:val="21"/>
              </w:rPr>
              <w:t>和</w:t>
            </w:r>
            <w:r>
              <w:rPr>
                <w:rFonts w:ascii="宋体" w:hAnsi="宋体" w:hint="eastAsia"/>
                <w:szCs w:val="21"/>
              </w:rPr>
              <w:t>乏二次批改。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  <w:p w14:paraId="3B34ACF8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C级（10分）：没按规定进度批改。 </w:t>
            </w:r>
          </w:p>
        </w:tc>
        <w:tc>
          <w:tcPr>
            <w:tcW w:w="708" w:type="dxa"/>
            <w:tcBorders/>
            <w:vAlign w:val="center"/>
          </w:tcPr>
          <w:p w14:paraId="717B0DE6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709" w:type="dxa"/>
            <w:tcBorders/>
            <w:vAlign w:val="center"/>
          </w:tcPr>
          <w:p w14:paraId="18D1290B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15</w:t>
            </w:r>
          </w:p>
        </w:tc>
        <w:tc>
          <w:tcPr>
            <w:tcW w:w="2268" w:type="dxa"/>
            <w:tcBorders/>
            <w:vAlign w:val="center"/>
          </w:tcPr>
          <w:p w14:paraId="2B20417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5DCE53FB">
        <w:tblPrEx/>
        <w:trPr>
          <w:trHeight w:val="1259" w:hRule="atLeast"/>
        </w:trPr>
        <w:tc>
          <w:tcPr>
            <w:tcW w:w="704" w:type="dxa"/>
            <w:tcBorders/>
            <w:vAlign w:val="center"/>
          </w:tcPr>
          <w:p w14:paraId="6E83C8BF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992" w:type="dxa"/>
            <w:tcBorders/>
            <w:vAlign w:val="center"/>
          </w:tcPr>
          <w:p w14:paraId="00FED83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读书笔记10</w:t>
            </w:r>
          </w:p>
        </w:tc>
        <w:tc>
          <w:tcPr>
            <w:tcW w:w="4962" w:type="dxa"/>
            <w:gridSpan w:val="2"/>
            <w:tcBorders/>
            <w:vAlign w:val="center"/>
          </w:tcPr>
          <w:p w14:paraId="41E303E1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A级（10分）：每学月≥1篇，书写工整，卷面整洁，得10分。</w:t>
            </w:r>
          </w:p>
          <w:p w14:paraId="56BC8443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B级（0分）：没有按时完成当月读书笔记。</w:t>
            </w:r>
          </w:p>
        </w:tc>
        <w:tc>
          <w:tcPr>
            <w:tcW w:w="708" w:type="dxa"/>
            <w:tcBorders/>
            <w:vAlign w:val="center"/>
          </w:tcPr>
          <w:p w14:paraId="7EDB79E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709" w:type="dxa"/>
            <w:tcBorders/>
            <w:vAlign w:val="center"/>
          </w:tcPr>
          <w:p w14:paraId="5AACC0E0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10</w:t>
            </w:r>
          </w:p>
        </w:tc>
        <w:tc>
          <w:tcPr>
            <w:tcW w:w="2268" w:type="dxa"/>
            <w:tcBorders/>
            <w:vAlign w:val="center"/>
          </w:tcPr>
          <w:p w14:paraId="6E77D6EC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39AC812A">
        <w:tblPrEx/>
        <w:trPr>
          <w:trHeight w:val="709" w:hRule="atLeast"/>
        </w:trPr>
        <w:tc>
          <w:tcPr>
            <w:tcW w:w="704" w:type="dxa"/>
            <w:vMerge w:val="restart"/>
            <w:tcBorders/>
            <w:vAlign w:val="center"/>
          </w:tcPr>
          <w:p w14:paraId="2F68117E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992" w:type="dxa"/>
            <w:vMerge w:val="restart"/>
            <w:tcBorders/>
            <w:vAlign w:val="center"/>
          </w:tcPr>
          <w:p w14:paraId="235A78C3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教研参与15</w:t>
            </w:r>
          </w:p>
        </w:tc>
        <w:tc>
          <w:tcPr>
            <w:tcW w:w="4962" w:type="dxa"/>
            <w:gridSpan w:val="2"/>
            <w:tcBorders/>
            <w:vAlign w:val="center"/>
          </w:tcPr>
          <w:p w14:paraId="7FECCA2D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教研活动（组、校、区等）出勤率100%，得5分，缺勤1次扣1分（病假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事假除外</w:t>
            </w:r>
            <w:r>
              <w:rPr>
                <w:rFonts w:ascii="宋体" w:hAnsi="宋体" w:hint="eastAsia"/>
                <w:szCs w:val="21"/>
              </w:rPr>
              <w:t>，以报分管行政为据</w:t>
            </w:r>
            <w:r>
              <w:rPr>
                <w:rFonts w:ascii="宋体" w:hAnsi="宋体" w:hint="eastAsia"/>
                <w:szCs w:val="21"/>
              </w:rPr>
              <w:t>）；</w:t>
            </w:r>
          </w:p>
        </w:tc>
        <w:tc>
          <w:tcPr>
            <w:tcW w:w="708" w:type="dxa"/>
            <w:tcBorders/>
            <w:vAlign w:val="center"/>
          </w:tcPr>
          <w:p w14:paraId="11E63507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09" w:type="dxa"/>
            <w:tcBorders/>
            <w:vAlign w:val="center"/>
          </w:tcPr>
          <w:p w14:paraId="585EF491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5</w:t>
            </w:r>
          </w:p>
        </w:tc>
        <w:tc>
          <w:tcPr>
            <w:tcW w:w="2268" w:type="dxa"/>
            <w:tcBorders/>
            <w:vAlign w:val="center"/>
          </w:tcPr>
          <w:p w14:paraId="0552BE3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130093F6">
        <w:tblPrEx/>
        <w:trPr>
          <w:trHeight w:val="692" w:hRule="atLeast"/>
        </w:trPr>
        <w:tc>
          <w:tcPr>
            <w:tcW w:w="704" w:type="dxa"/>
            <w:vMerge w:val="continue"/>
            <w:tcBorders/>
            <w:vAlign w:val="center"/>
          </w:tcPr>
          <w:p w14:paraId="228A45E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2DA892F3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962" w:type="dxa"/>
            <w:gridSpan w:val="2"/>
            <w:tcBorders/>
            <w:vAlign w:val="center"/>
          </w:tcPr>
          <w:p w14:paraId="371A3A90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积极参与教研讨论、课题研究，主动分享见解、教学策略、教学经验，得5分，被动参与无互动少扣1-2分。</w:t>
            </w:r>
          </w:p>
        </w:tc>
        <w:tc>
          <w:tcPr>
            <w:tcW w:w="708" w:type="dxa"/>
            <w:tcBorders/>
            <w:vAlign w:val="center"/>
          </w:tcPr>
          <w:p w14:paraId="04456854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09" w:type="dxa"/>
            <w:tcBorders/>
            <w:vAlign w:val="center"/>
          </w:tcPr>
          <w:p w14:paraId="75C012F6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5</w:t>
            </w:r>
          </w:p>
        </w:tc>
        <w:tc>
          <w:tcPr>
            <w:tcW w:w="2268" w:type="dxa"/>
            <w:tcBorders/>
            <w:vAlign w:val="center"/>
          </w:tcPr>
          <w:p w14:paraId="64A46D43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1C93D3EA">
        <w:tblPrEx/>
        <w:trPr>
          <w:trHeight w:val="1396" w:hRule="atLeast"/>
        </w:trPr>
        <w:tc>
          <w:tcPr>
            <w:tcW w:w="704" w:type="dxa"/>
            <w:vMerge w:val="continue"/>
            <w:tcBorders/>
            <w:vAlign w:val="center"/>
          </w:tcPr>
          <w:p w14:paraId="51329C8C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1DAC81F9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962" w:type="dxa"/>
            <w:gridSpan w:val="2"/>
            <w:tcBorders/>
            <w:vAlign w:val="center"/>
          </w:tcPr>
          <w:p w14:paraId="54673FDB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A级（5</w:t>
            </w:r>
            <w:r>
              <w:rPr>
                <w:rFonts w:ascii="宋体" w:hAnsi="宋体" w:hint="eastAsia"/>
                <w:szCs w:val="21"/>
              </w:rPr>
              <w:t>分</w:t>
            </w:r>
            <w:r>
              <w:rPr>
                <w:rFonts w:ascii="宋体" w:hAnsi="宋体" w:hint="eastAsia"/>
                <w:szCs w:val="21"/>
              </w:rPr>
              <w:t>）：</w:t>
            </w:r>
            <w:r>
              <w:rPr>
                <w:rFonts w:ascii="宋体" w:hAnsi="宋体" w:hint="eastAsia"/>
                <w:szCs w:val="21"/>
              </w:rPr>
              <w:t>每月主动</w:t>
            </w:r>
            <w:r>
              <w:rPr>
                <w:rFonts w:ascii="宋体" w:hAnsi="宋体" w:hint="eastAsia"/>
                <w:szCs w:val="21"/>
              </w:rPr>
              <w:t>承担组内任务≥2次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集体备课、作业设计等学校下达的任务）</w:t>
            </w:r>
            <w:r>
              <w:rPr>
                <w:rFonts w:ascii="宋体" w:hAnsi="宋体" w:hint="eastAsia"/>
                <w:szCs w:val="21"/>
              </w:rPr>
              <w:t>高质量完成，无推诿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14:paraId="27C35246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</w:p>
          <w:p w14:paraId="2E873381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B级（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分</w:t>
            </w:r>
            <w:r>
              <w:rPr>
                <w:rFonts w:ascii="宋体" w:hAnsi="宋体" w:hint="eastAsia"/>
                <w:szCs w:val="21"/>
              </w:rPr>
              <w:t>）：</w:t>
            </w:r>
            <w:r>
              <w:rPr>
                <w:rFonts w:ascii="宋体" w:hAnsi="宋体" w:hint="eastAsia"/>
                <w:szCs w:val="21"/>
              </w:rPr>
              <w:t>每月承担组内任务</w:t>
            </w:r>
            <w:r>
              <w:rPr>
                <w:rFonts w:ascii="宋体" w:hAnsi="宋体" w:hint="eastAsia"/>
                <w:szCs w:val="21"/>
              </w:rPr>
              <w:t>＜</w:t>
            </w:r>
            <w:r>
              <w:rPr>
                <w:rFonts w:ascii="宋体" w:hAnsi="宋体" w:hint="eastAsia"/>
                <w:szCs w:val="21"/>
              </w:rPr>
              <w:t>2或对承担单</w:t>
            </w:r>
            <w:r>
              <w:rPr>
                <w:rFonts w:ascii="宋体" w:hAnsi="宋体" w:hint="eastAsia"/>
                <w:szCs w:val="21"/>
              </w:rPr>
              <w:t>的</w:t>
            </w:r>
            <w:r>
              <w:rPr>
                <w:rFonts w:ascii="宋体" w:hAnsi="宋体" w:hint="eastAsia"/>
                <w:szCs w:val="21"/>
              </w:rPr>
              <w:t>任务敷衍了事，完成质量不高。</w:t>
            </w:r>
          </w:p>
          <w:p w14:paraId="230765BA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</w:p>
          <w:p w14:paraId="6A9FEE48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C级</w:t>
            </w:r>
            <w:r>
              <w:rPr>
                <w:rFonts w:ascii="宋体" w:hAnsi="宋体" w:hint="eastAsia"/>
                <w:szCs w:val="21"/>
              </w:rPr>
              <w:t>（0</w:t>
            </w:r>
            <w:r>
              <w:rPr>
                <w:rFonts w:ascii="宋体" w:hAnsi="宋体" w:hint="eastAsia"/>
                <w:szCs w:val="21"/>
              </w:rPr>
              <w:t>分</w:t>
            </w:r>
            <w:r>
              <w:rPr>
                <w:rFonts w:ascii="宋体" w:hAnsi="宋体" w:hint="eastAsia"/>
                <w:szCs w:val="21"/>
              </w:rPr>
              <w:t>）：</w:t>
            </w:r>
            <w:r>
              <w:rPr>
                <w:rFonts w:ascii="宋体" w:hAnsi="宋体" w:hint="eastAsia"/>
                <w:szCs w:val="21"/>
              </w:rPr>
              <w:t>推诿任务、拒绝承担，或承担次数＜1次</w:t>
            </w:r>
          </w:p>
          <w:p w14:paraId="7E03027F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</w:p>
        </w:tc>
        <w:tc>
          <w:tcPr>
            <w:tcW w:w="708" w:type="dxa"/>
            <w:tcBorders/>
            <w:vAlign w:val="center"/>
          </w:tcPr>
          <w:p w14:paraId="5483C88F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09" w:type="dxa"/>
            <w:tcBorders/>
            <w:vAlign w:val="center"/>
          </w:tcPr>
          <w:p w14:paraId="5EB1EAB1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5</w:t>
            </w:r>
          </w:p>
        </w:tc>
        <w:tc>
          <w:tcPr>
            <w:tcW w:w="2268" w:type="dxa"/>
            <w:tcBorders/>
            <w:vAlign w:val="center"/>
          </w:tcPr>
          <w:p w14:paraId="6A8572D9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1A72EF24">
        <w:tblPrEx/>
        <w:trPr>
          <w:trHeight w:val="1113" w:hRule="atLeast"/>
        </w:trPr>
        <w:tc>
          <w:tcPr>
            <w:tcW w:w="704" w:type="dxa"/>
            <w:tcBorders/>
            <w:vAlign w:val="center"/>
          </w:tcPr>
          <w:p w14:paraId="167F1E7E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992" w:type="dxa"/>
            <w:tcBorders/>
            <w:vAlign w:val="center"/>
          </w:tcPr>
          <w:p w14:paraId="2567F6F4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上交时间分5分</w:t>
            </w:r>
          </w:p>
        </w:tc>
        <w:tc>
          <w:tcPr>
            <w:tcW w:w="4962" w:type="dxa"/>
            <w:gridSpan w:val="2"/>
            <w:tcBorders/>
            <w:vAlign w:val="center"/>
          </w:tcPr>
          <w:p w14:paraId="5344EA5E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七认真</w:t>
            </w:r>
            <w:r>
              <w:rPr>
                <w:rFonts w:ascii="宋体" w:hAnsi="宋体" w:hint="eastAsia"/>
                <w:szCs w:val="21"/>
              </w:rPr>
              <w:t>材料是否在规定日期前按时上交。</w:t>
            </w:r>
          </w:p>
          <w:p w14:paraId="4B040E79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A级（5分）：按时上交；</w:t>
            </w:r>
          </w:p>
          <w:p w14:paraId="449A7F54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B级（3分）：迟一天上交。</w:t>
            </w:r>
          </w:p>
          <w:p w14:paraId="7464E79E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上交的内容缺一项扣1分</w:t>
            </w:r>
          </w:p>
        </w:tc>
        <w:tc>
          <w:tcPr>
            <w:tcW w:w="708" w:type="dxa"/>
            <w:tcBorders/>
            <w:vAlign w:val="center"/>
          </w:tcPr>
          <w:p w14:paraId="7AE451EB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09" w:type="dxa"/>
            <w:tcBorders/>
            <w:vAlign w:val="center"/>
          </w:tcPr>
          <w:p w14:paraId="0984FBF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5</w:t>
            </w:r>
          </w:p>
        </w:tc>
        <w:tc>
          <w:tcPr>
            <w:tcW w:w="2268" w:type="dxa"/>
            <w:tcBorders/>
            <w:vAlign w:val="center"/>
          </w:tcPr>
          <w:p w14:paraId="194BF52A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67FE8C23">
        <w:tblPrEx/>
        <w:trPr>
          <w:trHeight w:val="4961" w:hRule="atLeast"/>
        </w:trPr>
        <w:tc>
          <w:tcPr>
            <w:tcW w:w="704" w:type="dxa"/>
            <w:tcBorders/>
            <w:vAlign w:val="center"/>
          </w:tcPr>
          <w:p w14:paraId="28A4B071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992" w:type="dxa"/>
            <w:tcBorders/>
            <w:vAlign w:val="center"/>
          </w:tcPr>
          <w:p w14:paraId="11861796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加分项</w:t>
            </w:r>
          </w:p>
        </w:tc>
        <w:tc>
          <w:tcPr>
            <w:tcW w:w="4962" w:type="dxa"/>
            <w:gridSpan w:val="2"/>
            <w:tcBorders/>
            <w:vAlign w:val="center"/>
          </w:tcPr>
          <w:p w14:paraId="215712D0">
            <w:pPr>
              <w:pStyle w:val="style0"/>
              <w:numPr>
                <w:ilvl w:val="0"/>
                <w:numId w:val="1"/>
              </w:numPr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承担公开课、示范课、研讨课：</w:t>
            </w:r>
          </w:p>
          <w:p w14:paraId="79D6B5D7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校级： +2分/次（需有详细教案、课件及教研组评议记录）；</w:t>
            </w:r>
          </w:p>
          <w:p w14:paraId="2198B4C2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区级： +5分/次；</w:t>
            </w:r>
          </w:p>
          <w:p w14:paraId="2A8AF9A5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市级： +8分/次；</w:t>
            </w:r>
          </w:p>
          <w:p w14:paraId="0D7E88E2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省级及以上： +10分/次</w:t>
            </w:r>
          </w:p>
          <w:p w14:paraId="10546FD1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2.承担专题培训、讲座或经验分享:</w:t>
            </w:r>
          </w:p>
          <w:p w14:paraId="7BC2AD82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校级： +2分/次（需有讲稿或PPT及活动记录）; </w:t>
            </w:r>
          </w:p>
          <w:p w14:paraId="507D53BA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区级：+3分/次; </w:t>
            </w:r>
          </w:p>
          <w:p w14:paraId="21AC1CED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市级：+5分/次</w:t>
            </w:r>
          </w:p>
          <w:p w14:paraId="7E7B81EC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省级及以上：+10分/次</w:t>
            </w:r>
          </w:p>
          <w:p w14:paraId="440334C1">
            <w:pPr>
              <w:pStyle w:val="style0"/>
              <w:numPr>
                <w:ilvl w:val="0"/>
                <w:numId w:val="3"/>
              </w:numPr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承担额外代课任务: 在学校教师紧缺时，长期或大量承担本职以外的代课任务（比如3个班，或因为老师产假或生病长时间代课等），为维持正常教学秩序做出贡献：经核实，+2分/班/月                                                </w:t>
            </w:r>
          </w:p>
          <w:p w14:paraId="1F8A3F3A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5.家校沟通：家长对该老师工作认可，满意度高，并能提供视频或照片证明的：1月1次，每次+2</w:t>
            </w:r>
          </w:p>
          <w:p w14:paraId="1B0A46C1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6.其它临时性重大教学/教研任务：视情况而定 </w:t>
            </w:r>
          </w:p>
        </w:tc>
        <w:tc>
          <w:tcPr>
            <w:tcW w:w="708" w:type="dxa"/>
            <w:tcBorders/>
            <w:vAlign w:val="center"/>
          </w:tcPr>
          <w:p w14:paraId="561F8204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不限</w:t>
            </w:r>
          </w:p>
        </w:tc>
        <w:tc>
          <w:tcPr>
            <w:tcW w:w="709" w:type="dxa"/>
            <w:tcBorders/>
            <w:vAlign w:val="center"/>
          </w:tcPr>
          <w:p w14:paraId="3AA219C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2</w:t>
            </w:r>
          </w:p>
        </w:tc>
        <w:tc>
          <w:tcPr>
            <w:tcW w:w="2268" w:type="dxa"/>
            <w:tcBorders/>
            <w:vAlign w:val="center"/>
          </w:tcPr>
          <w:p w14:paraId="7D368D40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/>
              <w:drawing>
                <wp:inline distL="114300" distT="0" distB="0" distR="114300">
                  <wp:extent cx="1041832" cy="2302998"/>
                  <wp:effectExtent l="0" t="0" r="0" b="0"/>
                  <wp:docPr id="1026" name="Image1"/>
                  <wp:cNvGraphicFramePr>
                    <a:graphicFrameLocks xmlns:a="http://schemas.openxmlformats.org/drawingml/2006/main" noChangeAspect="false" noSelect="false" noResize="false" noGrp="fals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"/>
                          <pic:cNvPicPr/>
                        </pic:nvPicPr>
                        <pic:blipFill>
                          <a:blip r:embed="rId2" cstate="print"/>
                          <a:srcRect l="0" t="0" r="0" b="0"/>
                          <a:stretch/>
                        </pic:blipFill>
                        <pic:spPr>
                          <a:xfrm rot="0">
                            <a:off x="0" y="0"/>
                            <a:ext cx="1041832" cy="230299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8016FD2">
        <w:tblPrEx/>
        <w:trPr>
          <w:trHeight w:val="795" w:hRule="atLeast"/>
        </w:trPr>
        <w:tc>
          <w:tcPr>
            <w:tcW w:w="6658" w:type="dxa"/>
            <w:gridSpan w:val="4"/>
            <w:tcBorders/>
            <w:vAlign w:val="center"/>
          </w:tcPr>
          <w:p w14:paraId="3254E005">
            <w:pPr>
              <w:pStyle w:val="style0"/>
              <w:tabs>
                <w:tab w:val="left" w:leader="none" w:pos="312"/>
              </w:tabs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总分</w:t>
            </w:r>
          </w:p>
        </w:tc>
        <w:tc>
          <w:tcPr>
            <w:tcW w:w="708" w:type="dxa"/>
            <w:tcBorders/>
            <w:vAlign w:val="center"/>
          </w:tcPr>
          <w:p w14:paraId="7D22E97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</w:t>
            </w:r>
          </w:p>
        </w:tc>
        <w:tc>
          <w:tcPr>
            <w:tcW w:w="709" w:type="dxa"/>
            <w:tcBorders/>
            <w:vAlign w:val="center"/>
          </w:tcPr>
          <w:p w14:paraId="3F638FA3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102</w:t>
            </w:r>
          </w:p>
        </w:tc>
        <w:tc>
          <w:tcPr>
            <w:tcW w:w="2268" w:type="dxa"/>
            <w:tcBorders/>
            <w:vAlign w:val="center"/>
          </w:tcPr>
          <w:p w14:paraId="698A418B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</w:tbl>
    <w:p w14:paraId="5932B36E">
      <w:pPr>
        <w:pStyle w:val="style0"/>
        <w:adjustRightInd w:val="false"/>
        <w:snapToGrid w:val="false"/>
        <w:rPr>
          <w:rFonts w:ascii="宋体" w:hAnsi="宋体" w:hint="eastAsia"/>
          <w:sz w:val="24"/>
        </w:rPr>
      </w:pPr>
    </w:p>
    <w:sectPr>
      <w:pgSz w:w="11906" w:h="16838" w:orient="portrait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000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000010101"/>
    <w:charset w:val="86"/>
    <w:family w:val="auto"/>
    <w:pitch w:val="variable"/>
    <w:sig w:usb0="00000203" w:usb1="288F0000" w:usb2="00000016" w:usb3="00000000" w:csb0="00040001" w:csb1="00000000"/>
  </w:font>
  <w:font w:name="Calibri Light">
    <w:altName w:val="Calibri Light"/>
    <w:panose1 w:val="020f0302020000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D6B4476C"/>
    <w:lvl w:ilvl="0">
      <w:start w:val="1"/>
      <w:numFmt w:val="decimal"/>
      <w:lvlText w:val="%1."/>
      <w:lvlJc w:val="left"/>
      <w:pPr>
        <w:tabs>
          <w:tab w:val="left" w:leader="none" w:pos="312"/>
        </w:tabs>
      </w:pPr>
    </w:lvl>
  </w:abstractNum>
  <w:abstractNum w:abstractNumId="1">
    <w:nsid w:val="00000001"/>
    <w:multiLevelType w:val="multilevel"/>
    <w:tmpl w:val="347660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>
    <w:nsid w:val="00000002"/>
    <w:multiLevelType w:val="singleLevel"/>
    <w:tmpl w:val="7CB4D3FC"/>
    <w:lvl w:ilvl="0">
      <w:start w:val="4"/>
      <w:numFmt w:val="decimal"/>
      <w:lvlText w:val="%1."/>
      <w:lvlJc w:val="left"/>
      <w:pPr>
        <w:tabs>
          <w:tab w:val="left" w:leader="none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10"/>
  <w:embedSystemFonts/>
  <w:bordersDoNotSurroundHeader/>
  <w:bordersDoNotSurroundFooter/>
  <w:proofState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kern w:val="2"/>
      <w:sz w:val="21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2">
    <w:name w:val="footer"/>
    <w:basedOn w:val="style0"/>
    <w:next w:val="style32"/>
    <w:link w:val="style4098"/>
    <w:qFormat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paragraph" w:styleId="style31">
    <w:name w:val="header"/>
    <w:basedOn w:val="style0"/>
    <w:next w:val="style31"/>
    <w:link w:val="style4097"/>
    <w:pP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table" w:styleId="style154">
    <w:name w:val="Table Grid"/>
    <w:basedOn w:val="style105"/>
    <w:next w:val="style154"/>
    <w:qFormat/>
    <w:pPr>
      <w:widowControl w:val="false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  <w:style w:type="character" w:customStyle="1" w:styleId="style4097">
    <w:name w:val="页眉 字符"/>
    <w:basedOn w:val="style65"/>
    <w:next w:val="style4097"/>
    <w:link w:val="style31"/>
    <w:rPr>
      <w:kern w:val="2"/>
      <w:sz w:val="18"/>
      <w:szCs w:val="18"/>
    </w:rPr>
  </w:style>
  <w:style w:type="character" w:customStyle="1" w:styleId="style4098">
    <w:name w:val="页脚 字符"/>
    <w:basedOn w:val="style65"/>
    <w:next w:val="style4098"/>
    <w:link w:val="style32"/>
    <w:rPr>
      <w:kern w:val="2"/>
      <w:sz w:val="18"/>
      <w:szCs w:val="18"/>
    </w:rPr>
  </w:style>
  <w:style w:type="paragraph" w:styleId="style179">
    <w:name w:val="List Paragraph"/>
    <w:basedOn w:val="style0"/>
    <w:next w:val="style179"/>
    <w:qFormat/>
    <w:uiPriority w:val="99"/>
    <w:pPr>
      <w:ind w:firstLine="420" w:firstLineChars="20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jpeg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Words>1575</Words>
  <Pages>2</Pages>
  <Characters>1642</Characters>
  <Application>WPS Office</Application>
  <DocSecurity>0</DocSecurity>
  <Paragraphs>161</Paragraphs>
  <ScaleCrop>false</ScaleCrop>
  <LinksUpToDate>false</LinksUpToDate>
  <CharactersWithSpaces>1735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2026-03-25T12:06:00Z</dcterms:created>
  <dc:creator>May</dc:creator>
  <lastModifiedBy>BRA-AL00</lastModifiedBy>
  <dcterms:modified xsi:type="dcterms:W3CDTF">2026-06-29T13:50:52Z</dcterms:modified>
  <revision>4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c5acb3d5c9124776876903726179bc8c_23</vt:lpwstr>
  </property>
  <property fmtid="{D5CDD505-2E9C-101B-9397-08002B2CF9AE}" pid="4" name="KSOTemplateDocerSaveRecord">
    <vt:lpwstr>eyJoZGlkIjoiMWZhYmE4NzY3Yzk3YjIzZDkwNjMyMjZiYTI5YTIwZWMiLCJ1c2VySWQiOiI0MDUzMzE4NDkifQ==</vt:lpwstr>
  </property>
</Properties>
</file>